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Arial" w:hAnsi="Arial"/>
          <w:b/>
          <w:bCs/>
          <w:sz w:val="20"/>
          <w:szCs w:val="20"/>
        </w:rPr>
      </w:pPr>
      <w:r>
        <w:rPr>
          <w:rFonts w:ascii="Arial" w:hAnsi="Arial"/>
          <w:b/>
          <w:bCs/>
          <w:sz w:val="20"/>
          <w:szCs w:val="20"/>
        </w:rPr>
        <w:t>Häggån K nr 1 - Förslag på punkter att klistra in i yttrandemallen - del 2</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Jag anser att ansökan skall avslås med hänsyn till att de metaller som man avser att bryta, vanadin, nickel, zink och molybden, finns i alunskiffer.</w:t>
      </w:r>
    </w:p>
    <w:p>
      <w:pPr>
        <w:pStyle w:val="Normal"/>
        <w:bidi w:val="0"/>
        <w:jc w:val="start"/>
        <w:rPr>
          <w:rFonts w:ascii="Arial" w:hAnsi="Arial"/>
          <w:sz w:val="20"/>
          <w:szCs w:val="20"/>
        </w:rPr>
      </w:pPr>
      <w:r>
        <w:rPr>
          <w:rFonts w:ascii="Arial" w:hAnsi="Arial"/>
          <w:sz w:val="20"/>
          <w:szCs w:val="20"/>
        </w:rPr>
        <w:t>De omfattande och allvarliga riskerna med brytning alunskiffer har tydliggjorts bland annat i 2020 års Alunskifferutredning (SOU 2020:71).</w:t>
      </w:r>
    </w:p>
    <w:p>
      <w:pPr>
        <w:pStyle w:val="Normal"/>
        <w:bidi w:val="0"/>
        <w:jc w:val="start"/>
        <w:rPr>
          <w:rFonts w:ascii="Arial" w:hAnsi="Arial"/>
          <w:sz w:val="20"/>
          <w:szCs w:val="20"/>
        </w:rPr>
      </w:pPr>
      <w:r>
        <w:rPr>
          <w:rFonts w:ascii="Arial" w:hAnsi="Arial"/>
          <w:sz w:val="20"/>
          <w:szCs w:val="20"/>
        </w:rPr>
        <w:t>I utredningen konstaterades också att det fortfarande saknas miljömässigt godtagbar metod för utvinning av material ur alunskiffer.</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Jag anser inte att riskerna är försvarbara.</w:t>
      </w:r>
    </w:p>
    <w:p>
      <w:pPr>
        <w:pStyle w:val="Normal"/>
        <w:bidi w:val="0"/>
        <w:jc w:val="start"/>
        <w:rPr>
          <w:rFonts w:ascii="Arial" w:hAnsi="Arial"/>
          <w:sz w:val="20"/>
          <w:szCs w:val="20"/>
        </w:rPr>
      </w:pPr>
      <w:r>
        <w:rPr>
          <w:rFonts w:ascii="Arial" w:hAnsi="Arial"/>
          <w:sz w:val="20"/>
          <w:szCs w:val="20"/>
        </w:rPr>
        <w:t>Gruvbrytning i alunskiffer innebär att stora mängder tungmetaller, uran och andra miljöfarliga ämnen riskerar att läcka ut i mark och vatten.</w:t>
      </w:r>
    </w:p>
    <w:p>
      <w:pPr>
        <w:pStyle w:val="Normal"/>
        <w:bidi w:val="0"/>
        <w:jc w:val="start"/>
        <w:rPr>
          <w:rFonts w:ascii="Arial" w:hAnsi="Arial"/>
          <w:sz w:val="20"/>
          <w:szCs w:val="20"/>
        </w:rPr>
      </w:pPr>
      <w:r>
        <w:rPr>
          <w:rFonts w:ascii="Arial" w:hAnsi="Arial"/>
          <w:sz w:val="20"/>
          <w:szCs w:val="20"/>
        </w:rPr>
        <w:t>Föroreningarna hotar inte bara den lokala miljön, utan kan spridas långt nedströms och påverka hela ekosystem, med förödande effekter svåra eller omöjliga att återställa under överskådlig tid.</w:t>
      </w:r>
    </w:p>
    <w:p>
      <w:pPr>
        <w:pStyle w:val="Normal"/>
        <w:bidi w:val="0"/>
        <w:jc w:val="start"/>
        <w:rPr>
          <w:rFonts w:ascii="Arial" w:hAnsi="Arial"/>
          <w:sz w:val="20"/>
          <w:szCs w:val="20"/>
        </w:rPr>
      </w:pPr>
      <w:r>
        <w:rPr>
          <w:rFonts w:ascii="Arial" w:hAnsi="Arial"/>
          <w:sz w:val="20"/>
          <w:szCs w:val="20"/>
        </w:rPr>
        <w:t>Storsjön är Sveriges femte största sjö och dricksvattentäkt för fyra kommuner.</w:t>
      </w:r>
    </w:p>
    <w:p>
      <w:pPr>
        <w:pStyle w:val="Normal"/>
        <w:bidi w:val="0"/>
        <w:jc w:val="start"/>
        <w:rPr>
          <w:rFonts w:ascii="Arial" w:hAnsi="Arial"/>
          <w:sz w:val="20"/>
          <w:szCs w:val="20"/>
        </w:rPr>
      </w:pPr>
      <w:r>
        <w:rPr>
          <w:rFonts w:ascii="Arial" w:hAnsi="Arial"/>
          <w:sz w:val="20"/>
          <w:szCs w:val="20"/>
        </w:rPr>
        <w:t>Kommunala ytvattentäkter runt Storsjön tar sammanlagt ut cirka 6100000 m³ vatten till ca 50000 abonnenter.</w:t>
      </w:r>
    </w:p>
    <w:p>
      <w:pPr>
        <w:pStyle w:val="Normal"/>
        <w:bidi w:val="0"/>
        <w:jc w:val="start"/>
        <w:rPr>
          <w:rFonts w:ascii="Arial" w:hAnsi="Arial"/>
          <w:sz w:val="20"/>
          <w:szCs w:val="20"/>
        </w:rPr>
      </w:pPr>
      <w:r>
        <w:rPr>
          <w:rFonts w:ascii="Arial" w:hAnsi="Arial"/>
          <w:sz w:val="20"/>
          <w:szCs w:val="20"/>
        </w:rPr>
        <w:t>Utöver det tillkommer enskilda dricksvattenbrunnar i koncessionsområdets närhet, brunnar som utöver hushållsvatten försörjer djur för livsmedelsproduktion.</w:t>
      </w:r>
    </w:p>
    <w:p>
      <w:pPr>
        <w:pStyle w:val="Normal"/>
        <w:bidi w:val="0"/>
        <w:jc w:val="start"/>
        <w:rPr>
          <w:rFonts w:ascii="Arial" w:hAnsi="Arial"/>
          <w:sz w:val="20"/>
          <w:szCs w:val="20"/>
        </w:rPr>
      </w:pPr>
      <w:r>
        <w:rPr>
          <w:rFonts w:ascii="Arial" w:hAnsi="Arial"/>
          <w:sz w:val="20"/>
          <w:szCs w:val="20"/>
        </w:rPr>
        <w:t>Jag anser inte att det är försvarbart att riskera dessa värden för all framtid till förmån för gruvbrytning.</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Jag ifrågasätter bolagets lämplighet.</w:t>
      </w:r>
    </w:p>
    <w:p>
      <w:pPr>
        <w:pStyle w:val="Normal"/>
        <w:bidi w:val="0"/>
        <w:jc w:val="start"/>
        <w:rPr>
          <w:rFonts w:ascii="Arial" w:hAnsi="Arial"/>
          <w:sz w:val="20"/>
          <w:szCs w:val="20"/>
        </w:rPr>
      </w:pPr>
      <w:r>
        <w:rPr>
          <w:rFonts w:ascii="Arial" w:hAnsi="Arial"/>
          <w:sz w:val="20"/>
          <w:szCs w:val="20"/>
        </w:rPr>
        <w:t>I ansökan anger Vanadis Battery Metals AB att lämplighetskravet för bearbetning i alunskiffer i enlighet med lagstiftningen skall anses vara uppfylld.</w:t>
      </w:r>
    </w:p>
    <w:p>
      <w:pPr>
        <w:pStyle w:val="Normal"/>
        <w:bidi w:val="0"/>
        <w:jc w:val="start"/>
        <w:rPr>
          <w:rFonts w:ascii="Arial" w:hAnsi="Arial"/>
          <w:sz w:val="20"/>
          <w:szCs w:val="20"/>
        </w:rPr>
      </w:pPr>
      <w:r>
        <w:rPr>
          <w:rFonts w:ascii="Arial" w:hAnsi="Arial"/>
          <w:sz w:val="20"/>
          <w:szCs w:val="20"/>
        </w:rPr>
        <w:t>Jag ifrågasätter detta då inget i ansökan tyder på medvetenhet om svårigheterna med brytning i alunskiffer.</w:t>
      </w:r>
    </w:p>
    <w:p>
      <w:pPr>
        <w:pStyle w:val="Normal"/>
        <w:bidi w:val="0"/>
        <w:jc w:val="start"/>
        <w:rPr>
          <w:rFonts w:ascii="Arial" w:hAnsi="Arial"/>
          <w:sz w:val="20"/>
          <w:szCs w:val="20"/>
        </w:rPr>
      </w:pPr>
      <w:r>
        <w:rPr>
          <w:rFonts w:ascii="Arial" w:hAnsi="Arial"/>
          <w:sz w:val="20"/>
          <w:szCs w:val="20"/>
        </w:rPr>
        <w:t>Bolaget kan av naturliga skäl heller inte ange någon specifik, miljömässigt säker metod för brytning, då detta inte finns.</w:t>
      </w:r>
    </w:p>
    <w:p>
      <w:pPr>
        <w:pStyle w:val="Normal"/>
        <w:bidi w:val="0"/>
        <w:jc w:val="start"/>
        <w:rPr>
          <w:rFonts w:ascii="Arial" w:hAnsi="Arial"/>
          <w:sz w:val="20"/>
          <w:szCs w:val="20"/>
        </w:rPr>
      </w:pPr>
      <w:r>
        <w:rPr>
          <w:rFonts w:ascii="Arial" w:hAnsi="Arial"/>
          <w:sz w:val="20"/>
          <w:szCs w:val="20"/>
        </w:rPr>
        <w:t>I enlighet med 4 kap. 2 § andra stycket minerallagen får koncession för bearbetning av koncessionsmineral i alunskiffer endast beviljas den som visar att den är lämplig att bedriva sådan bearbetning.</w:t>
      </w:r>
    </w:p>
    <w:p>
      <w:pPr>
        <w:pStyle w:val="Normal"/>
        <w:bidi w:val="0"/>
        <w:jc w:val="start"/>
        <w:rPr>
          <w:rFonts w:ascii="Arial" w:hAnsi="Arial"/>
          <w:sz w:val="20"/>
          <w:szCs w:val="20"/>
        </w:rPr>
      </w:pPr>
      <w:r>
        <w:rPr>
          <w:rFonts w:ascii="Arial" w:hAnsi="Arial"/>
          <w:sz w:val="20"/>
          <w:szCs w:val="20"/>
        </w:rPr>
        <w:t>Jag menar att det saknas stöd för påståendet att moderkoncernen Aura Energy skulle ha erfarenhet av, eller tillgång till kompetens av det slag som krävs.</w:t>
      </w:r>
    </w:p>
    <w:p>
      <w:pPr>
        <w:pStyle w:val="Normal"/>
        <w:bidi w:val="0"/>
        <w:jc w:val="start"/>
        <w:rPr>
          <w:rFonts w:ascii="Arial" w:hAnsi="Arial"/>
          <w:sz w:val="20"/>
          <w:szCs w:val="20"/>
        </w:rPr>
      </w:pPr>
      <w:r>
        <w:rPr>
          <w:rFonts w:ascii="Arial" w:hAnsi="Arial"/>
          <w:sz w:val="20"/>
          <w:szCs w:val="20"/>
        </w:rPr>
        <w:t>Vad beträffar Aura Energy så har landet för bolagets säte, Australien, för övrigt stoppat brytning av jordartsmetaller i alunskiffer med hänsyn till miljöriskerna.</w:t>
      </w:r>
    </w:p>
    <w:p>
      <w:pPr>
        <w:pStyle w:val="Normal"/>
        <w:bidi w:val="0"/>
        <w:jc w:val="start"/>
        <w:rPr>
          <w:rFonts w:ascii="Arial" w:hAnsi="Arial"/>
          <w:sz w:val="20"/>
          <w:szCs w:val="20"/>
        </w:rPr>
      </w:pPr>
      <w:r>
        <w:rPr>
          <w:rFonts w:ascii="Arial" w:hAnsi="Arial"/>
          <w:sz w:val="20"/>
          <w:szCs w:val="20"/>
        </w:rPr>
        <w:t>Vad gäller hänvisningen till Aura Energys projekt i Mauretanien, Tiris, så är detta inte relevant då denna gruvverksamhet ännu inte startat.</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Jag anser att ansökan skall avslås med hänvisning till brister i malmbevisningen.</w:t>
      </w:r>
    </w:p>
    <w:p>
      <w:pPr>
        <w:pStyle w:val="Normal"/>
        <w:bidi w:val="0"/>
        <w:jc w:val="start"/>
        <w:rPr>
          <w:rFonts w:ascii="Arial" w:hAnsi="Arial"/>
          <w:sz w:val="20"/>
          <w:szCs w:val="20"/>
        </w:rPr>
      </w:pPr>
      <w:r>
        <w:rPr>
          <w:rFonts w:ascii="Arial" w:hAnsi="Arial"/>
          <w:sz w:val="20"/>
          <w:szCs w:val="20"/>
        </w:rPr>
        <w:t>Jag anser att Bergsstaten bör avvisa ansökan om bearbetningskoncession med hänvisning till att malmbevisningen inte utgår ifrån aktuell standard.</w:t>
      </w:r>
    </w:p>
    <w:p>
      <w:pPr>
        <w:pStyle w:val="Normal"/>
        <w:bidi w:val="0"/>
        <w:jc w:val="start"/>
        <w:rPr>
          <w:rFonts w:ascii="Arial" w:hAnsi="Arial"/>
          <w:sz w:val="20"/>
          <w:szCs w:val="20"/>
        </w:rPr>
      </w:pPr>
      <w:r>
        <w:rPr>
          <w:rFonts w:ascii="Arial" w:hAnsi="Arial"/>
          <w:sz w:val="20"/>
          <w:szCs w:val="20"/>
        </w:rPr>
        <w:t>Vanadis Battery AB har i malmbevisningen inte beaktat FRB:s standard.</w:t>
      </w:r>
    </w:p>
    <w:p>
      <w:pPr>
        <w:pStyle w:val="Normal"/>
        <w:bidi w:val="0"/>
        <w:jc w:val="start"/>
        <w:rPr>
          <w:rFonts w:ascii="Arial" w:hAnsi="Arial"/>
          <w:sz w:val="20"/>
          <w:szCs w:val="20"/>
        </w:rPr>
      </w:pPr>
      <w:r>
        <w:rPr>
          <w:rFonts w:ascii="Arial" w:hAnsi="Arial"/>
          <w:sz w:val="20"/>
          <w:szCs w:val="20"/>
        </w:rPr>
        <w:t>Fennoscandian Review Board (FRB) är ett samarbete mellan SveMin, FinnMin och Norsk Bergindustri med huvudsaklig uppgift att säkerställa rätt kompetens och erfarenhet hos de som bedömer och rapporterar mineralfyndigheter.</w:t>
      </w:r>
    </w:p>
    <w:p>
      <w:pPr>
        <w:pStyle w:val="Normal"/>
        <w:bidi w:val="0"/>
        <w:jc w:val="start"/>
        <w:rPr>
          <w:rFonts w:ascii="Arial" w:hAnsi="Arial"/>
          <w:sz w:val="20"/>
          <w:szCs w:val="20"/>
        </w:rPr>
      </w:pPr>
      <w:r>
        <w:rPr>
          <w:rFonts w:ascii="Arial" w:hAnsi="Arial"/>
          <w:sz w:val="20"/>
          <w:szCs w:val="20"/>
        </w:rPr>
        <w:t>FRB fyller en viktig funktion för att säkerställa att mineralbevisning följer internationella standarder som JORC och CRIRSCO.</w:t>
      </w:r>
    </w:p>
    <w:p>
      <w:pPr>
        <w:pStyle w:val="Normal"/>
        <w:bidi w:val="0"/>
        <w:jc w:val="start"/>
        <w:rPr>
          <w:rFonts w:ascii="Arial" w:hAnsi="Arial"/>
          <w:sz w:val="20"/>
          <w:szCs w:val="20"/>
        </w:rPr>
      </w:pPr>
      <w:r>
        <w:rPr>
          <w:rFonts w:ascii="Arial" w:hAnsi="Arial"/>
          <w:sz w:val="20"/>
          <w:szCs w:val="20"/>
        </w:rPr>
        <w:t>I enlighet med Bergsstatens vägledning krävs att det i ansökan om bearbetningskoncession ska framgå att sökanden har kännedom om fyndighetens omfattning och halt som minst motsvarar FRB standardens benämning "indikerad mineraltillgång".</w:t>
      </w:r>
    </w:p>
    <w:p>
      <w:pPr>
        <w:pStyle w:val="Normal"/>
        <w:bidi w:val="0"/>
        <w:jc w:val="start"/>
        <w:rPr>
          <w:rFonts w:ascii="Arial" w:hAnsi="Arial"/>
          <w:sz w:val="20"/>
          <w:szCs w:val="20"/>
        </w:rPr>
      </w:pPr>
      <w:r>
        <w:rPr>
          <w:rFonts w:ascii="Arial" w:hAnsi="Arial"/>
          <w:sz w:val="20"/>
          <w:szCs w:val="20"/>
        </w:rPr>
        <w:t>Bolaget hänvisar enbart till JORC 2012.</w:t>
      </w:r>
    </w:p>
    <w:p>
      <w:pPr>
        <w:pStyle w:val="Normal"/>
        <w:bidi w:val="0"/>
        <w:jc w:val="start"/>
        <w:rPr>
          <w:rFonts w:ascii="Arial" w:hAnsi="Arial"/>
          <w:sz w:val="20"/>
          <w:szCs w:val="20"/>
        </w:rPr>
      </w:pPr>
      <w:r>
        <w:rPr>
          <w:rFonts w:ascii="Arial" w:hAnsi="Arial"/>
          <w:sz w:val="20"/>
          <w:szCs w:val="20"/>
        </w:rPr>
        <w:t>JORC 2012 standard är uppdaterad till JORC 2024 vilket medför flera viktiga förändringar, bland annat högre krav vad gäller att inkludera Environmental, Social, and Governance, ESG.</w:t>
      </w:r>
    </w:p>
    <w:p>
      <w:pPr>
        <w:pStyle w:val="Normal"/>
        <w:bidi w:val="0"/>
        <w:jc w:val="start"/>
        <w:rPr>
          <w:rFonts w:ascii="Arial" w:hAnsi="Arial"/>
          <w:sz w:val="20"/>
          <w:szCs w:val="20"/>
        </w:rPr>
      </w:pPr>
      <w:r>
        <w:rPr>
          <w:rFonts w:ascii="Arial" w:hAnsi="Arial"/>
          <w:sz w:val="20"/>
          <w:szCs w:val="20"/>
        </w:rPr>
        <w:t>Exempel på den uppdaterade standarden är bland annat:</w:t>
      </w:r>
    </w:p>
    <w:p>
      <w:pPr>
        <w:pStyle w:val="Normal"/>
        <w:bidi w:val="0"/>
        <w:jc w:val="start"/>
        <w:rPr>
          <w:rFonts w:ascii="Arial" w:hAnsi="Arial"/>
          <w:sz w:val="20"/>
          <w:szCs w:val="20"/>
        </w:rPr>
      </w:pPr>
      <w:r>
        <w:rPr>
          <w:rFonts w:ascii="Arial" w:hAnsi="Arial"/>
          <w:sz w:val="20"/>
          <w:szCs w:val="20"/>
        </w:rPr>
        <w:t>- Större fokus på att säkerställa att negativ miljö- och samhällspåverkan bedöms tidigt i projektet och att åtgärder vidtas för att minimera dessa påverkan.</w:t>
      </w:r>
    </w:p>
    <w:p>
      <w:pPr>
        <w:pStyle w:val="Normal"/>
        <w:bidi w:val="0"/>
        <w:jc w:val="start"/>
        <w:rPr>
          <w:rFonts w:ascii="Arial" w:hAnsi="Arial"/>
          <w:sz w:val="20"/>
          <w:szCs w:val="20"/>
        </w:rPr>
      </w:pPr>
      <w:r>
        <w:rPr>
          <w:rFonts w:ascii="Arial" w:hAnsi="Arial"/>
          <w:sz w:val="20"/>
          <w:szCs w:val="20"/>
        </w:rPr>
        <w:t>- Omstrukturering av JORC för bättre anpassning till CRIRSCO:s internationella rapporteringsmall med förbättrad läsbarhet och tydlighet.</w:t>
      </w:r>
    </w:p>
    <w:p>
      <w:pPr>
        <w:pStyle w:val="Normal"/>
        <w:bidi w:val="0"/>
        <w:jc w:val="start"/>
        <w:rPr>
          <w:rFonts w:ascii="Arial" w:hAnsi="Arial"/>
          <w:sz w:val="20"/>
          <w:szCs w:val="20"/>
        </w:rPr>
      </w:pPr>
      <w:r>
        <w:rPr>
          <w:rFonts w:ascii="Arial" w:hAnsi="Arial"/>
          <w:sz w:val="20"/>
          <w:szCs w:val="20"/>
        </w:rPr>
        <w:t>- Nya krav på kompetens, bland annat "CV of record", online-introduktion till den nya JORC-koden samt en sammanfattning av sin erfarenhet i relevanta offentliga rapporter.</w:t>
      </w:r>
    </w:p>
    <w:p>
      <w:pPr>
        <w:pStyle w:val="Normal"/>
        <w:bidi w:val="0"/>
        <w:jc w:val="start"/>
        <w:rPr>
          <w:rFonts w:ascii="Arial" w:hAnsi="Arial"/>
          <w:sz w:val="20"/>
          <w:szCs w:val="20"/>
        </w:rPr>
      </w:pPr>
      <w:r>
        <w:rPr>
          <w:rFonts w:ascii="Arial" w:hAnsi="Arial"/>
          <w:sz w:val="20"/>
          <w:szCs w:val="20"/>
        </w:rPr>
        <w:t>- Förbättrad redovisning av rimliga utsikter för ekonomisk utvinning.</w:t>
      </w:r>
    </w:p>
    <w:p>
      <w:pPr>
        <w:pStyle w:val="Normal"/>
        <w:bidi w:val="0"/>
        <w:jc w:val="start"/>
        <w:rPr>
          <w:rFonts w:ascii="Arial" w:hAnsi="Arial"/>
          <w:sz w:val="20"/>
          <w:szCs w:val="20"/>
        </w:rPr>
      </w:pPr>
      <w:r>
        <w:rPr>
          <w:rFonts w:ascii="Arial" w:hAnsi="Arial"/>
          <w:sz w:val="20"/>
          <w:szCs w:val="20"/>
        </w:rPr>
        <w:t>- Förbättrad rapportering av mineralresurser och mineralreserver.</w:t>
      </w:r>
    </w:p>
    <w:p>
      <w:pPr>
        <w:pStyle w:val="Normal"/>
        <w:bidi w:val="0"/>
        <w:jc w:val="start"/>
        <w:rPr>
          <w:rFonts w:ascii="Arial" w:hAnsi="Arial"/>
          <w:sz w:val="20"/>
          <w:szCs w:val="20"/>
        </w:rPr>
      </w:pPr>
      <w:r>
        <w:rPr>
          <w:rFonts w:ascii="Arial" w:hAnsi="Arial"/>
          <w:sz w:val="20"/>
          <w:szCs w:val="20"/>
        </w:rPr>
        <w:t>JORCC 2024 innebär därmed skärpta krav som Bergsstaten skall ta hänsyn till i sin bedömning av denna ansökan.</w:t>
      </w:r>
    </w:p>
    <w:p>
      <w:pPr>
        <w:pStyle w:val="Normal"/>
        <w:bidi w:val="0"/>
        <w:jc w:val="start"/>
        <w:rPr>
          <w:rFonts w:ascii="Arial" w:hAnsi="Arial"/>
          <w:sz w:val="20"/>
          <w:szCs w:val="20"/>
        </w:rPr>
      </w:pPr>
      <w:r>
        <w:rPr>
          <w:rFonts w:ascii="Arial" w:hAnsi="Arial"/>
          <w:sz w:val="20"/>
          <w:szCs w:val="20"/>
        </w:rPr>
        <w:t>Vanadis Battery Metals AB beskriver ingenstans hur man beaktar FRB:s standard och att man försäkrat sig om att följa uppdatering av JORC.</w:t>
      </w:r>
    </w:p>
    <w:p>
      <w:pPr>
        <w:pStyle w:val="Normal"/>
        <w:bidi w:val="0"/>
        <w:jc w:val="start"/>
        <w:rPr>
          <w:rFonts w:ascii="Arial" w:hAnsi="Arial"/>
          <w:sz w:val="20"/>
          <w:szCs w:val="20"/>
        </w:rPr>
      </w:pPr>
      <w:r>
        <w:rPr>
          <w:rFonts w:ascii="Arial" w:hAnsi="Arial"/>
          <w:sz w:val="20"/>
          <w:szCs w:val="20"/>
        </w:rPr>
        <w:t>Även om ansökan om bearbetningskoncession lämnades strax innan den uppdaterade standarden JORC 2024 trädde i kraft, så bör man kunna kräva att det finns en medvetenhet om detta hos bolaget.</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Jag anser att ansökan skall avslås med hänsyn till att ekonomiska förutsättningar i malmbevisningen inte kan bedömas.</w:t>
      </w:r>
    </w:p>
    <w:p>
      <w:pPr>
        <w:pStyle w:val="Normal"/>
        <w:bidi w:val="0"/>
        <w:jc w:val="start"/>
        <w:rPr>
          <w:rFonts w:ascii="Arial" w:hAnsi="Arial"/>
          <w:sz w:val="20"/>
          <w:szCs w:val="20"/>
        </w:rPr>
      </w:pPr>
      <w:r>
        <w:rPr>
          <w:rFonts w:ascii="Arial" w:hAnsi="Arial"/>
          <w:sz w:val="20"/>
          <w:szCs w:val="20"/>
        </w:rPr>
        <w:t>Enligt minerallagen (1991:45) krävs för beviljande av bearbetningskoncession att "en fyndighet som sannolikt kan tillgodogöras ekonomiskt har blivit påträffad".</w:t>
      </w:r>
    </w:p>
    <w:p>
      <w:pPr>
        <w:pStyle w:val="Normal"/>
        <w:bidi w:val="0"/>
        <w:jc w:val="start"/>
        <w:rPr>
          <w:rFonts w:ascii="Arial" w:hAnsi="Arial"/>
          <w:sz w:val="20"/>
          <w:szCs w:val="20"/>
        </w:rPr>
      </w:pPr>
      <w:r>
        <w:rPr>
          <w:rFonts w:ascii="Arial" w:hAnsi="Arial"/>
          <w:sz w:val="20"/>
          <w:szCs w:val="20"/>
        </w:rPr>
        <w:t>Sökanden skall därmed utöver uppgifter om undersökningsresultaten även redovisade de ekonomiska förutsättningarna för utvinning och bearbetning av fyndigheten.</w:t>
      </w:r>
    </w:p>
    <w:p>
      <w:pPr>
        <w:pStyle w:val="Normal"/>
        <w:bidi w:val="0"/>
        <w:jc w:val="start"/>
        <w:rPr>
          <w:rFonts w:ascii="Arial" w:hAnsi="Arial"/>
          <w:sz w:val="20"/>
          <w:szCs w:val="20"/>
        </w:rPr>
      </w:pPr>
      <w:r>
        <w:rPr>
          <w:rFonts w:ascii="Arial" w:hAnsi="Arial"/>
          <w:sz w:val="20"/>
          <w:szCs w:val="20"/>
        </w:rPr>
        <w:t>I den malmbevisning som Vanadis Battery AB lämnar anges följande:</w:t>
      </w:r>
    </w:p>
    <w:p>
      <w:pPr>
        <w:pStyle w:val="Normal"/>
        <w:bidi w:val="0"/>
        <w:jc w:val="start"/>
        <w:rPr>
          <w:rFonts w:ascii="Arial" w:hAnsi="Arial"/>
          <w:sz w:val="20"/>
          <w:szCs w:val="20"/>
        </w:rPr>
      </w:pPr>
      <w:r>
        <w:rPr>
          <w:rFonts w:ascii="Arial" w:hAnsi="Arial"/>
          <w:sz w:val="20"/>
          <w:szCs w:val="20"/>
        </w:rPr>
        <w:t>"Det totala behovet av kapital uppskattas till 592 miljoner USD innan start av produktionen, till detta kommer ersättningsinvesteringar som uppskattas till 1,5% av den ursprungliga investeringen per år (8,9 miljoner USD per år). Icke förutsedda kostnader är medtagna med 20 % av direkta kostnader. Noggrannheten i uppskattningen uppgår till ±35 %."</w:t>
      </w:r>
    </w:p>
    <w:p>
      <w:pPr>
        <w:pStyle w:val="Normal"/>
        <w:bidi w:val="0"/>
        <w:jc w:val="start"/>
        <w:rPr>
          <w:rFonts w:ascii="Arial" w:hAnsi="Arial"/>
          <w:sz w:val="20"/>
          <w:szCs w:val="20"/>
        </w:rPr>
      </w:pPr>
      <w:r>
        <w:rPr>
          <w:rFonts w:ascii="Arial" w:hAnsi="Arial"/>
          <w:sz w:val="20"/>
          <w:szCs w:val="20"/>
        </w:rPr>
        <w:t>Den stora osäkerheten, plus/minus 35 %, samt det faktum att övriga kalkyler för exempelvis driftskostnader anges ytterst schematiskt gör det omöjligt att bedöma huruvida fyndigheten kan tillgodogöras ekonomiskt.</w:t>
      </w:r>
    </w:p>
    <w:p>
      <w:pPr>
        <w:pStyle w:val="Normal"/>
        <w:bidi w:val="0"/>
        <w:jc w:val="start"/>
        <w:rPr>
          <w:rFonts w:ascii="Arial" w:hAnsi="Arial"/>
          <w:sz w:val="20"/>
          <w:szCs w:val="20"/>
        </w:rPr>
      </w:pPr>
      <w:r>
        <w:rPr>
          <w:rFonts w:ascii="Arial" w:hAnsi="Arial"/>
          <w:sz w:val="20"/>
          <w:szCs w:val="20"/>
        </w:rPr>
        <w:t>Av ansökan framgår att den aktuella fyndigheten innehåller stora mängder metaller, men att halterna är genomgående låga.</w:t>
      </w:r>
    </w:p>
    <w:p>
      <w:pPr>
        <w:pStyle w:val="Normal"/>
        <w:bidi w:val="0"/>
        <w:jc w:val="start"/>
        <w:rPr>
          <w:rFonts w:ascii="Arial" w:hAnsi="Arial"/>
          <w:sz w:val="20"/>
          <w:szCs w:val="20"/>
        </w:rPr>
      </w:pPr>
      <w:r>
        <w:rPr>
          <w:rFonts w:ascii="Arial" w:hAnsi="Arial"/>
          <w:sz w:val="20"/>
          <w:szCs w:val="20"/>
        </w:rPr>
        <w:t>Det innebär att storleken tillgodogjord metall blir liten i förhållande till den stora malmvolym som måste brytas.</w:t>
      </w:r>
    </w:p>
    <w:p>
      <w:pPr>
        <w:pStyle w:val="Normal"/>
        <w:bidi w:val="0"/>
        <w:jc w:val="start"/>
        <w:rPr>
          <w:rFonts w:ascii="Arial" w:hAnsi="Arial"/>
          <w:sz w:val="20"/>
          <w:szCs w:val="20"/>
        </w:rPr>
      </w:pPr>
      <w:r>
        <w:rPr>
          <w:rFonts w:ascii="Arial" w:hAnsi="Arial"/>
          <w:sz w:val="20"/>
          <w:szCs w:val="20"/>
        </w:rPr>
        <w:t>Det är rimligt att ta även detta i beaktande vid bedömningen av malmbevisningen.</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Jag anser att ansökan skall avslås då det inte framgår om verksamheten har prövats enligt Lag om granskning av utländska direktinvesteringar.</w:t>
      </w:r>
    </w:p>
    <w:p>
      <w:pPr>
        <w:pStyle w:val="Normal"/>
        <w:bidi w:val="0"/>
        <w:jc w:val="start"/>
        <w:rPr>
          <w:rFonts w:ascii="Arial" w:hAnsi="Arial"/>
          <w:sz w:val="20"/>
          <w:szCs w:val="20"/>
        </w:rPr>
      </w:pPr>
      <w:r>
        <w:rPr>
          <w:rFonts w:ascii="Arial" w:hAnsi="Arial"/>
          <w:sz w:val="20"/>
          <w:szCs w:val="20"/>
        </w:rPr>
        <w:t>Lag om granskning av utländska direktinvesteringar med tillhörande förordning (2023:560 samt 2023:624) tillkom 2024 i syfte att hindra utländska direktinvesteringar i svensk skyddsvärd verksamhet som kan inverka skadligt på Sveriges säkerhet eller på allmän ordning eller allmän säkerhet i Sverige.</w:t>
      </w:r>
    </w:p>
    <w:p>
      <w:pPr>
        <w:pStyle w:val="Normal"/>
        <w:bidi w:val="0"/>
        <w:jc w:val="start"/>
        <w:rPr>
          <w:rFonts w:ascii="Arial" w:hAnsi="Arial"/>
          <w:sz w:val="20"/>
          <w:szCs w:val="20"/>
        </w:rPr>
      </w:pPr>
      <w:r>
        <w:rPr>
          <w:rFonts w:ascii="Arial" w:hAnsi="Arial"/>
          <w:sz w:val="20"/>
          <w:szCs w:val="20"/>
        </w:rPr>
        <w:t>Såväl lag som förordning tyder på att bolagets ansökan om bearbetningskoncession bör föranleda bedömning av granskningsbehov då prospektering, utvinning, anrikning eller försäljning av kritiska råvaror eller av metaller eller mineral som är strategiskt viktiga för Sveriges försörjning, däribland vanadin omfattas av lagstiftningen.</w:t>
      </w:r>
    </w:p>
    <w:p>
      <w:pPr>
        <w:pStyle w:val="Normal"/>
        <w:bidi w:val="0"/>
        <w:jc w:val="start"/>
        <w:rPr>
          <w:rFonts w:ascii="Arial" w:hAnsi="Arial"/>
          <w:sz w:val="20"/>
          <w:szCs w:val="20"/>
        </w:rPr>
      </w:pPr>
      <w:r>
        <w:rPr>
          <w:rFonts w:ascii="Arial" w:hAnsi="Arial"/>
          <w:sz w:val="20"/>
          <w:szCs w:val="20"/>
        </w:rPr>
        <w:t>Det råder heller inte några tvivel om att det rör sig om utomeuropeisk direktfinansiering.</w:t>
      </w:r>
    </w:p>
    <w:p>
      <w:pPr>
        <w:pStyle w:val="Normal"/>
        <w:bidi w:val="0"/>
        <w:jc w:val="start"/>
        <w:rPr>
          <w:rFonts w:ascii="Arial" w:hAnsi="Arial"/>
          <w:sz w:val="20"/>
          <w:szCs w:val="20"/>
        </w:rPr>
      </w:pPr>
      <w:r>
        <w:rPr>
          <w:rFonts w:ascii="Arial" w:hAnsi="Arial"/>
          <w:sz w:val="20"/>
          <w:szCs w:val="20"/>
        </w:rPr>
        <w:t>Det framgår inte av ansökan om Bergsstaten i enlighet med rådande lagstiftning anmält ansökan ombearbetningskoncession till den ansvariga myndigheten, ISP, Inspektionen för strategiska produkter. Jag utgår ifrån att så skett.</w:t>
      </w:r>
    </w:p>
    <w:p>
      <w:pPr>
        <w:pStyle w:val="Normal"/>
        <w:bidi w:val="0"/>
        <w:jc w:val="start"/>
        <w:rPr>
          <w:rFonts w:ascii="Arial" w:hAnsi="Arial"/>
          <w:sz w:val="20"/>
          <w:szCs w:val="20"/>
        </w:rPr>
      </w:pPr>
      <w:r>
        <w:rPr>
          <w:rFonts w:ascii="Arial" w:hAnsi="Arial"/>
          <w:sz w:val="20"/>
          <w:szCs w:val="20"/>
        </w:rPr>
        <w:t>Jag anser att Bergsstaten bör avslå ansökan i första hand med hänvisning till att verksamheten kan innebära skada för Sveriges säkerhet, i andra hand avvisa ansökan om bearbetningskoncession i väntan på ISP:s beslut om behov av granskning.</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Jag anser att ansökan skall avslås då miljökonsekvensbeskrivningen inte uppfyller de krav som såväl SGU:s vägledning som miljöbalken föranleder.</w:t>
      </w:r>
    </w:p>
    <w:p>
      <w:pPr>
        <w:pStyle w:val="Normal"/>
        <w:bidi w:val="0"/>
        <w:jc w:val="start"/>
        <w:rPr>
          <w:rFonts w:ascii="Arial" w:hAnsi="Arial"/>
          <w:sz w:val="20"/>
          <w:szCs w:val="20"/>
        </w:rPr>
      </w:pPr>
      <w:r>
        <w:rPr>
          <w:rFonts w:ascii="Arial" w:hAnsi="Arial"/>
          <w:sz w:val="20"/>
          <w:szCs w:val="20"/>
        </w:rPr>
        <w:t>I ansökan hänvisar Vanadis Battery Metals AB återkommande till kommande eventuell miljöprövning som skäl till att man inte beskriver miljökonsekvenser eller metod för utvinning.</w:t>
      </w:r>
    </w:p>
    <w:p>
      <w:pPr>
        <w:pStyle w:val="Normal"/>
        <w:bidi w:val="0"/>
        <w:jc w:val="start"/>
        <w:rPr>
          <w:rFonts w:ascii="Arial" w:hAnsi="Arial"/>
          <w:sz w:val="20"/>
          <w:szCs w:val="20"/>
        </w:rPr>
      </w:pPr>
      <w:r>
        <w:rPr>
          <w:rFonts w:ascii="Arial" w:hAnsi="Arial"/>
          <w:sz w:val="20"/>
          <w:szCs w:val="20"/>
        </w:rPr>
        <w:t>I förarbetena till minerallagen betonas att det är viktigt att den avvägning som görs i koncessionsärendet enligt 3 och 4 kap. miljöbalken är allsidig och övergripande.</w:t>
      </w:r>
    </w:p>
    <w:p>
      <w:pPr>
        <w:pStyle w:val="Normal"/>
        <w:bidi w:val="0"/>
        <w:jc w:val="start"/>
        <w:rPr>
          <w:rFonts w:ascii="Arial" w:hAnsi="Arial"/>
          <w:sz w:val="20"/>
          <w:szCs w:val="20"/>
        </w:rPr>
      </w:pPr>
      <w:r>
        <w:rPr>
          <w:rFonts w:ascii="Arial" w:hAnsi="Arial"/>
          <w:sz w:val="20"/>
          <w:szCs w:val="20"/>
        </w:rPr>
        <w:t>Det är viktigt att det finns ett ordentligt beslutsunderlag och att miljöaspekterna får en grundlig belysning och beaktas i beslutet.</w:t>
      </w:r>
    </w:p>
    <w:p>
      <w:pPr>
        <w:pStyle w:val="Normal"/>
        <w:bidi w:val="0"/>
        <w:jc w:val="start"/>
        <w:rPr>
          <w:rFonts w:ascii="Arial" w:hAnsi="Arial"/>
          <w:sz w:val="20"/>
          <w:szCs w:val="20"/>
        </w:rPr>
      </w:pPr>
      <w:r>
        <w:rPr>
          <w:rFonts w:ascii="Arial" w:hAnsi="Arial"/>
          <w:sz w:val="20"/>
          <w:szCs w:val="20"/>
        </w:rPr>
        <w:t>Vad som är ändamålsenlig och lämplig markanvändning av den mark som har beskrivits i ansökan ska därmed redan i koncessionsskedet kunna få en fullständig prövning med tillämpning av hushållningsbestämmelserna i miljöbalken.</w:t>
      </w:r>
    </w:p>
    <w:p>
      <w:pPr>
        <w:pStyle w:val="Normal"/>
        <w:bidi w:val="0"/>
        <w:jc w:val="start"/>
        <w:rPr>
          <w:rFonts w:ascii="Arial" w:hAnsi="Arial"/>
          <w:sz w:val="20"/>
          <w:szCs w:val="20"/>
        </w:rPr>
      </w:pPr>
      <w:r>
        <w:rPr>
          <w:rFonts w:ascii="Arial" w:hAnsi="Arial"/>
          <w:sz w:val="20"/>
          <w:szCs w:val="20"/>
        </w:rPr>
        <w:t>Det är enligt SGU:s vägledning inte möjligt att hänskjuta några av dessa frågor till en senare prövning, eftersom det råder hinder mot att ta upp frågorna på nytt vid kommande miljöbalksprövning om de behandlats i ett ärende om bearbetningskoncession enligt minerallagen.</w:t>
      </w:r>
    </w:p>
    <w:p>
      <w:pPr>
        <w:pStyle w:val="Normal"/>
        <w:bidi w:val="0"/>
        <w:jc w:val="start"/>
        <w:rPr>
          <w:rFonts w:ascii="Arial" w:hAnsi="Arial"/>
          <w:sz w:val="20"/>
          <w:szCs w:val="20"/>
        </w:rPr>
      </w:pPr>
      <w:r>
        <w:rPr>
          <w:rFonts w:ascii="Arial" w:hAnsi="Arial"/>
          <w:sz w:val="20"/>
          <w:szCs w:val="20"/>
        </w:rPr>
        <w:t>Naturvårdsverkets uppfattning är att miljökonsekvensbeskrivning för ansökan om bearbetningskoncession ska uppfylla de krav som framgår av 6 kap. 7 § miljöbalken vilket innebär att det bland annat krävs en beskrivning av hur verksamheten ska utformas och vilka åtgärder som planeras för att skadliga verkningar ska undvikas, minskas eller avhjälpas.</w:t>
      </w:r>
    </w:p>
    <w:p>
      <w:pPr>
        <w:pStyle w:val="Normal"/>
        <w:bidi w:val="0"/>
        <w:jc w:val="start"/>
        <w:rPr>
          <w:rFonts w:ascii="Arial" w:hAnsi="Arial"/>
          <w:sz w:val="20"/>
          <w:szCs w:val="20"/>
        </w:rPr>
      </w:pPr>
      <w:r>
        <w:rPr>
          <w:rFonts w:ascii="Arial" w:hAnsi="Arial"/>
          <w:sz w:val="20"/>
          <w:szCs w:val="20"/>
        </w:rPr>
        <w:t>Dessa uppgifter har betydelse vid tillämpningen av 3 och 4 kap. miljöbalken.</w:t>
      </w:r>
    </w:p>
    <w:p>
      <w:pPr>
        <w:pStyle w:val="Normal"/>
        <w:bidi w:val="0"/>
        <w:jc w:val="start"/>
        <w:rPr>
          <w:rFonts w:ascii="Arial" w:hAnsi="Arial"/>
          <w:sz w:val="20"/>
          <w:szCs w:val="20"/>
        </w:rPr>
      </w:pPr>
      <w:r>
        <w:rPr>
          <w:rFonts w:ascii="Arial" w:hAnsi="Arial"/>
          <w:sz w:val="20"/>
          <w:szCs w:val="20"/>
        </w:rPr>
        <w:t>Därmed kan inte en ansökan om bearbetningskoncession hänvisa till kommande eventuell miljöprövning, eller hänvisa till "konceptuella lösningar" för att täcka bristfälliga underlag gällande miljökonsekvenser eller tillämplig metod för utvinning.</w:t>
      </w:r>
    </w:p>
    <w:p>
      <w:pPr>
        <w:pStyle w:val="Normal"/>
        <w:bidi w:val="0"/>
        <w:jc w:val="start"/>
        <w:rPr>
          <w:rFonts w:ascii="Arial" w:hAnsi="Arial"/>
          <w:sz w:val="20"/>
          <w:szCs w:val="20"/>
        </w:rPr>
      </w:pPr>
      <w:r>
        <w:rPr>
          <w:rFonts w:ascii="Arial" w:hAnsi="Arial"/>
          <w:sz w:val="20"/>
          <w:szCs w:val="20"/>
        </w:rPr>
        <w:t>Syftet med en miljökonsekvensbeskrivning är att identifiera och beskriva de direkta och indirekta effekter den planerade verksamheten eller åtgärden kan medföra på bland annat människor, växter, djur, mark, vatten, luft och resurshushållning och att möjliggöra en samlad bedömning av miljöeffekterna.</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Avfallshantering.</w:t>
      </w:r>
    </w:p>
    <w:p>
      <w:pPr>
        <w:pStyle w:val="Normal"/>
        <w:bidi w:val="0"/>
        <w:jc w:val="start"/>
        <w:rPr>
          <w:rFonts w:ascii="Arial" w:hAnsi="Arial"/>
          <w:sz w:val="20"/>
          <w:szCs w:val="20"/>
        </w:rPr>
      </w:pPr>
      <w:r>
        <w:rPr>
          <w:rFonts w:ascii="Arial" w:hAnsi="Arial"/>
          <w:sz w:val="20"/>
          <w:szCs w:val="20"/>
        </w:rPr>
        <w:t>Bolaget konstaterar att man inte kan definiera hur avfallshanteringen ska gå till då man inte undersökt vi</w:t>
      </w:r>
      <w:r>
        <w:rPr>
          <w:rFonts w:ascii="Arial" w:hAnsi="Arial"/>
          <w:sz w:val="20"/>
          <w:szCs w:val="20"/>
        </w:rPr>
        <w:t>l</w:t>
      </w:r>
      <w:r>
        <w:rPr>
          <w:rFonts w:ascii="Arial" w:hAnsi="Arial"/>
          <w:sz w:val="20"/>
          <w:szCs w:val="20"/>
        </w:rPr>
        <w:t>ka egenskaper avfallet kommer att ha.</w:t>
      </w:r>
    </w:p>
    <w:p>
      <w:pPr>
        <w:pStyle w:val="Normal"/>
        <w:bidi w:val="0"/>
        <w:jc w:val="start"/>
        <w:rPr>
          <w:rFonts w:ascii="Arial" w:hAnsi="Arial"/>
          <w:sz w:val="20"/>
          <w:szCs w:val="20"/>
        </w:rPr>
      </w:pPr>
      <w:r>
        <w:rPr>
          <w:rFonts w:ascii="Arial" w:hAnsi="Arial"/>
          <w:sz w:val="20"/>
          <w:szCs w:val="20"/>
        </w:rPr>
        <w:t>Det finns en preliminär plan för deponi i delar av dagbrotten, men det framgår osäkerhet om denna kommer att fungera.</w:t>
      </w:r>
    </w:p>
    <w:p>
      <w:pPr>
        <w:pStyle w:val="Normal"/>
        <w:bidi w:val="0"/>
        <w:jc w:val="start"/>
        <w:rPr>
          <w:rFonts w:ascii="Arial" w:hAnsi="Arial"/>
          <w:sz w:val="20"/>
          <w:szCs w:val="20"/>
        </w:rPr>
      </w:pPr>
      <w:r>
        <w:rPr>
          <w:rFonts w:ascii="Arial" w:hAnsi="Arial"/>
          <w:sz w:val="20"/>
          <w:szCs w:val="20"/>
        </w:rPr>
        <w:t>Det är därmed omöjligt att bedöma effekter av avfallshanteringen.</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Dammspridning.</w:t>
      </w:r>
    </w:p>
    <w:p>
      <w:pPr>
        <w:pStyle w:val="Normal"/>
        <w:bidi w:val="0"/>
        <w:jc w:val="start"/>
        <w:rPr>
          <w:rFonts w:ascii="Arial" w:hAnsi="Arial"/>
          <w:sz w:val="20"/>
          <w:szCs w:val="20"/>
        </w:rPr>
      </w:pPr>
      <w:r>
        <w:rPr>
          <w:rFonts w:ascii="Arial" w:hAnsi="Arial"/>
          <w:sz w:val="20"/>
          <w:szCs w:val="20"/>
        </w:rPr>
        <w:t>"Hantering av damningsproblematik kommer att kräva omfattande åtgärder. Givet att emissioner i form av damning till luft kan begränsas på sådant sätt att klimat och luftkvalitet samt växtlighet, jordbruksmark och djurliv lokalt endast påverkas i obetydlig till liten omfattning bedöms den planerade verksamheten leda till små negativa konsekvenser." Sid 109 bilaga B.</w:t>
      </w:r>
    </w:p>
    <w:p>
      <w:pPr>
        <w:pStyle w:val="Normal"/>
        <w:bidi w:val="0"/>
        <w:jc w:val="start"/>
        <w:rPr>
          <w:rFonts w:ascii="Arial" w:hAnsi="Arial"/>
          <w:sz w:val="20"/>
          <w:szCs w:val="20"/>
        </w:rPr>
      </w:pPr>
      <w:r>
        <w:rPr>
          <w:rFonts w:ascii="Arial" w:hAnsi="Arial"/>
          <w:sz w:val="20"/>
          <w:szCs w:val="20"/>
        </w:rPr>
        <w:t>I ansökan anges tämligen översiktligt att man skall sprida vatten på de ytor där man kan få problem med damning.</w:t>
      </w:r>
    </w:p>
    <w:p>
      <w:pPr>
        <w:pStyle w:val="Normal"/>
        <w:bidi w:val="0"/>
        <w:jc w:val="start"/>
        <w:rPr>
          <w:rFonts w:ascii="Arial" w:hAnsi="Arial"/>
          <w:sz w:val="20"/>
          <w:szCs w:val="20"/>
        </w:rPr>
      </w:pPr>
      <w:r>
        <w:rPr>
          <w:rFonts w:ascii="Arial" w:hAnsi="Arial"/>
          <w:sz w:val="20"/>
          <w:szCs w:val="20"/>
        </w:rPr>
        <w:t>Med tanke på att flera miljoner ton malm kommer att brytas årligen krävs en betydligt mer ingående beskrivning av hur detta skall ske.</w:t>
      </w:r>
    </w:p>
    <w:p>
      <w:pPr>
        <w:pStyle w:val="Normal"/>
        <w:bidi w:val="0"/>
        <w:jc w:val="start"/>
        <w:rPr>
          <w:rFonts w:ascii="Arial" w:hAnsi="Arial"/>
          <w:sz w:val="20"/>
          <w:szCs w:val="20"/>
        </w:rPr>
      </w:pPr>
      <w:r>
        <w:rPr>
          <w:rFonts w:ascii="Arial" w:hAnsi="Arial"/>
          <w:sz w:val="20"/>
          <w:szCs w:val="20"/>
        </w:rPr>
        <w:t>Dammspridning är ett generellt stort problem att hantera vid gruvbrytning och närheten till fjällkedjan gör i detta fall att blåst sannolikt förstärker problemet.</w:t>
      </w:r>
    </w:p>
    <w:p>
      <w:pPr>
        <w:pStyle w:val="Normal"/>
        <w:bidi w:val="0"/>
        <w:jc w:val="start"/>
        <w:rPr>
          <w:rFonts w:ascii="Arial" w:hAnsi="Arial"/>
          <w:sz w:val="20"/>
          <w:szCs w:val="20"/>
        </w:rPr>
      </w:pPr>
      <w:r>
        <w:rPr>
          <w:rFonts w:ascii="Arial" w:hAnsi="Arial"/>
          <w:sz w:val="20"/>
          <w:szCs w:val="20"/>
        </w:rPr>
        <w:t>Aitikgruvan, är ett svenskt exempel på där tydligt förhöjda metallhalter har uppmätts i lavar och mossor inom en radie på en mil.</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Vattenhanteringen.</w:t>
      </w:r>
    </w:p>
    <w:p>
      <w:pPr>
        <w:pStyle w:val="Normal"/>
        <w:bidi w:val="0"/>
        <w:jc w:val="start"/>
        <w:rPr>
          <w:rFonts w:ascii="Arial" w:hAnsi="Arial"/>
          <w:sz w:val="20"/>
          <w:szCs w:val="20"/>
        </w:rPr>
      </w:pPr>
      <w:r>
        <w:rPr>
          <w:rFonts w:ascii="Arial" w:hAnsi="Arial"/>
          <w:sz w:val="20"/>
          <w:szCs w:val="20"/>
        </w:rPr>
        <w:t>Enligt ansökan kommer mängden vatten som skall hanteras till följd av brytningen av berget att uppgå till ca 107 kubikmeter i timmen.</w:t>
      </w:r>
    </w:p>
    <w:p>
      <w:pPr>
        <w:pStyle w:val="Normal"/>
        <w:bidi w:val="0"/>
        <w:jc w:val="start"/>
        <w:rPr>
          <w:rFonts w:ascii="Arial" w:hAnsi="Arial"/>
          <w:sz w:val="20"/>
          <w:szCs w:val="20"/>
        </w:rPr>
      </w:pPr>
      <w:r>
        <w:rPr>
          <w:rFonts w:ascii="Arial" w:hAnsi="Arial"/>
          <w:sz w:val="20"/>
          <w:szCs w:val="20"/>
        </w:rPr>
        <w:t>Det innebär 937 320 kubikmeter per år.</w:t>
      </w:r>
    </w:p>
    <w:p>
      <w:pPr>
        <w:pStyle w:val="Normal"/>
        <w:bidi w:val="0"/>
        <w:jc w:val="start"/>
        <w:rPr>
          <w:rFonts w:ascii="Arial" w:hAnsi="Arial"/>
          <w:sz w:val="20"/>
          <w:szCs w:val="20"/>
        </w:rPr>
      </w:pPr>
      <w:r>
        <w:rPr>
          <w:rFonts w:ascii="Arial" w:hAnsi="Arial"/>
          <w:sz w:val="20"/>
          <w:szCs w:val="20"/>
        </w:rPr>
        <w:t>Det saknas uppgifter om beräknat innehåll av metaller i vattnet, men erfarenheten från exempelvis gruvan i finska Talvivaara visar att sannolikheten finns för att halterna kommer att vara höga.</w:t>
      </w:r>
    </w:p>
    <w:p>
      <w:pPr>
        <w:pStyle w:val="Normal"/>
        <w:bidi w:val="0"/>
        <w:jc w:val="start"/>
        <w:rPr>
          <w:rFonts w:ascii="Arial" w:hAnsi="Arial"/>
          <w:sz w:val="20"/>
          <w:szCs w:val="20"/>
        </w:rPr>
      </w:pPr>
      <w:r>
        <w:rPr>
          <w:rFonts w:ascii="Arial" w:hAnsi="Arial"/>
          <w:sz w:val="20"/>
          <w:szCs w:val="20"/>
        </w:rPr>
        <w:t>Utöver detta tillkommer nederbörd, regn och snö.</w:t>
      </w:r>
    </w:p>
    <w:p>
      <w:pPr>
        <w:pStyle w:val="Normal"/>
        <w:bidi w:val="0"/>
        <w:jc w:val="start"/>
        <w:rPr>
          <w:rFonts w:ascii="Arial" w:hAnsi="Arial"/>
          <w:sz w:val="20"/>
          <w:szCs w:val="20"/>
        </w:rPr>
      </w:pPr>
      <w:r>
        <w:rPr>
          <w:rFonts w:ascii="Arial" w:hAnsi="Arial"/>
          <w:sz w:val="20"/>
          <w:szCs w:val="20"/>
        </w:rPr>
        <w:t>Företaget säger att man kommer att rena allt vatten tillräckligt innan det skickas ut i Storsjön.</w:t>
      </w:r>
    </w:p>
    <w:p>
      <w:pPr>
        <w:pStyle w:val="Normal"/>
        <w:bidi w:val="0"/>
        <w:jc w:val="start"/>
        <w:rPr>
          <w:rFonts w:ascii="Arial" w:hAnsi="Arial"/>
          <w:sz w:val="20"/>
          <w:szCs w:val="20"/>
        </w:rPr>
      </w:pPr>
      <w:r>
        <w:rPr>
          <w:rFonts w:ascii="Arial" w:hAnsi="Arial"/>
          <w:sz w:val="20"/>
          <w:szCs w:val="20"/>
        </w:rPr>
        <w:t>En viktig förutsättning för att bedöma detta påstående är att man har en uppfattning om vad vattnet kommer att innehålla, vilket alltså saknas i ansökan.</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Grundvattnets strömning ner mot Storsjön.</w:t>
      </w:r>
    </w:p>
    <w:p>
      <w:pPr>
        <w:pStyle w:val="Normal"/>
        <w:bidi w:val="0"/>
        <w:jc w:val="start"/>
        <w:rPr>
          <w:rFonts w:ascii="Arial" w:hAnsi="Arial"/>
          <w:sz w:val="20"/>
          <w:szCs w:val="20"/>
        </w:rPr>
      </w:pPr>
      <w:r>
        <w:rPr>
          <w:rFonts w:ascii="Arial" w:hAnsi="Arial"/>
          <w:sz w:val="20"/>
          <w:szCs w:val="20"/>
        </w:rPr>
        <w:t>Den simulerade grundvattenmodellen tillsammans med två korta stycken på sidan 57 i miljökonsekvensbeskrivningen utgör en alltför bristfällig utredning av grundvattnets strömning ner mot Storsjön.</w:t>
      </w:r>
    </w:p>
    <w:p>
      <w:pPr>
        <w:pStyle w:val="Normal"/>
        <w:bidi w:val="0"/>
        <w:jc w:val="start"/>
        <w:rPr>
          <w:rFonts w:ascii="Arial" w:hAnsi="Arial"/>
          <w:sz w:val="20"/>
          <w:szCs w:val="20"/>
        </w:rPr>
      </w:pPr>
      <w:r>
        <w:rPr>
          <w:rFonts w:ascii="Arial" w:hAnsi="Arial"/>
          <w:sz w:val="20"/>
          <w:szCs w:val="20"/>
        </w:rPr>
        <w:t>De skyddsåtgärder som nämns saknar mer ingående beskrivning.</w:t>
      </w:r>
    </w:p>
    <w:p>
      <w:pPr>
        <w:pStyle w:val="Normal"/>
        <w:bidi w:val="0"/>
        <w:jc w:val="start"/>
        <w:rPr>
          <w:rFonts w:ascii="Arial" w:hAnsi="Arial"/>
          <w:sz w:val="20"/>
          <w:szCs w:val="20"/>
        </w:rPr>
      </w:pPr>
      <w:r>
        <w:rPr>
          <w:rFonts w:ascii="Arial" w:hAnsi="Arial"/>
          <w:sz w:val="20"/>
          <w:szCs w:val="20"/>
        </w:rPr>
        <w:t>Sammantaget innebär detta att det inte är möjligt att bedöma vare sig risken för kontaminering av grundvattnet eller huruvida skyddsåtgärder kan anses tillräckliga.</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Recipient för renat överskottsvatten.</w:t>
      </w:r>
    </w:p>
    <w:p>
      <w:pPr>
        <w:pStyle w:val="Normal"/>
        <w:bidi w:val="0"/>
        <w:jc w:val="start"/>
        <w:rPr>
          <w:rFonts w:ascii="Arial" w:hAnsi="Arial"/>
          <w:sz w:val="20"/>
          <w:szCs w:val="20"/>
        </w:rPr>
      </w:pPr>
      <w:r>
        <w:rPr>
          <w:rFonts w:ascii="Arial" w:hAnsi="Arial"/>
          <w:sz w:val="20"/>
          <w:szCs w:val="20"/>
        </w:rPr>
        <w:t>Jag anser att uppgifterna i ansökan vad gäller rening av överskottsvatten är allt för osäkra för att tillstånd för bearbetningskoncession skall kunna ges.</w:t>
      </w:r>
    </w:p>
    <w:p>
      <w:pPr>
        <w:pStyle w:val="Normal"/>
        <w:bidi w:val="0"/>
        <w:jc w:val="start"/>
        <w:rPr>
          <w:rFonts w:ascii="Arial" w:hAnsi="Arial"/>
          <w:sz w:val="20"/>
          <w:szCs w:val="20"/>
        </w:rPr>
      </w:pPr>
      <w:r>
        <w:rPr>
          <w:rFonts w:ascii="Arial" w:hAnsi="Arial"/>
          <w:sz w:val="20"/>
          <w:szCs w:val="20"/>
        </w:rPr>
        <w:t>"Recipient för den planerade verksamhetens renade överskottsvatten kommer vara Storsjön och vattnet planeras att ledas dit via rörledning. Utredning av optimal utsläppsplats pågår och ett alternativ till rörledning skulle kunna vara att leda vattnet till en mindre recipient (till exempel Åbbåsån eller Rörösjön) som mynnar i Storsjön". Sid 33 bilaga B.</w:t>
      </w:r>
    </w:p>
    <w:p>
      <w:pPr>
        <w:pStyle w:val="Normal"/>
        <w:bidi w:val="0"/>
        <w:jc w:val="start"/>
        <w:rPr>
          <w:rFonts w:ascii="Arial" w:hAnsi="Arial"/>
          <w:sz w:val="20"/>
          <w:szCs w:val="20"/>
        </w:rPr>
      </w:pPr>
      <w:r>
        <w:rPr>
          <w:rFonts w:ascii="Arial" w:hAnsi="Arial"/>
          <w:sz w:val="20"/>
          <w:szCs w:val="20"/>
        </w:rPr>
        <w:t>"Hur och var överskottsvatten som påverkats av verksamheten ska släppas ut efter rening kommer att utredas, men preliminärt kommer det släppas ut till Storsjön via en rörledning eller motsvarande anordning". Sid 73 bilaga B.</w:t>
      </w:r>
    </w:p>
    <w:p>
      <w:pPr>
        <w:pStyle w:val="Normal"/>
        <w:bidi w:val="0"/>
        <w:jc w:val="start"/>
        <w:rPr>
          <w:rFonts w:ascii="Arial" w:hAnsi="Arial"/>
          <w:sz w:val="20"/>
          <w:szCs w:val="20"/>
        </w:rPr>
      </w:pPr>
      <w:r>
        <w:rPr>
          <w:rFonts w:ascii="Arial" w:hAnsi="Arial"/>
          <w:sz w:val="20"/>
          <w:szCs w:val="20"/>
        </w:rPr>
        <w:t>De delar som rör vattenmiljön kring gruvan och de åtgärder som planeras för att ta hand om dagvatten och processvatten från gruvområdet saknar tillräcklig beskrivning.</w:t>
      </w:r>
    </w:p>
    <w:p>
      <w:pPr>
        <w:pStyle w:val="Normal"/>
        <w:bidi w:val="0"/>
        <w:jc w:val="start"/>
        <w:rPr>
          <w:rFonts w:ascii="Arial" w:hAnsi="Arial"/>
          <w:sz w:val="20"/>
          <w:szCs w:val="20"/>
        </w:rPr>
      </w:pPr>
      <w:r>
        <w:rPr>
          <w:rFonts w:ascii="Arial" w:hAnsi="Arial"/>
          <w:sz w:val="20"/>
          <w:szCs w:val="20"/>
        </w:rPr>
        <w:t>Det saknas helt riskanalys vad gäller Önstasjön, Rörösjön, Åbbåsån, Myrån, Häggån och andra mindre bäckar och vattendrag kring gruvområdet.</w:t>
      </w:r>
    </w:p>
    <w:p>
      <w:pPr>
        <w:pStyle w:val="Normal"/>
        <w:bidi w:val="0"/>
        <w:jc w:val="start"/>
        <w:rPr>
          <w:rFonts w:ascii="Arial" w:hAnsi="Arial"/>
          <w:sz w:val="20"/>
          <w:szCs w:val="20"/>
        </w:rPr>
      </w:pPr>
      <w:r>
        <w:rPr>
          <w:rFonts w:ascii="Arial" w:hAnsi="Arial"/>
          <w:sz w:val="20"/>
          <w:szCs w:val="20"/>
        </w:rPr>
        <w:t>Påverkan av Storsjön, och då i synnerhet Myrviken-Bergsviken, inklusive dess bottensediment, måste belysas bättre.</w:t>
      </w:r>
    </w:p>
    <w:p>
      <w:pPr>
        <w:pStyle w:val="Normal"/>
        <w:bidi w:val="0"/>
        <w:jc w:val="start"/>
        <w:rPr>
          <w:rFonts w:ascii="Arial" w:hAnsi="Arial"/>
          <w:sz w:val="20"/>
          <w:szCs w:val="20"/>
        </w:rPr>
      </w:pPr>
      <w:r>
        <w:rPr>
          <w:rFonts w:ascii="Arial" w:hAnsi="Arial"/>
          <w:sz w:val="20"/>
          <w:szCs w:val="20"/>
        </w:rPr>
        <w:t>Förslaget att anlägga en rörledning för överskottsvatten från gruvområdet direkt ut i Storsjön väcker stor oro.</w:t>
      </w:r>
    </w:p>
    <w:p>
      <w:pPr>
        <w:pStyle w:val="Normal"/>
        <w:bidi w:val="0"/>
        <w:jc w:val="start"/>
        <w:rPr>
          <w:rFonts w:ascii="Arial" w:hAnsi="Arial"/>
          <w:sz w:val="20"/>
          <w:szCs w:val="20"/>
        </w:rPr>
      </w:pPr>
      <w:r>
        <w:rPr>
          <w:rFonts w:ascii="Arial" w:hAnsi="Arial"/>
          <w:sz w:val="20"/>
          <w:szCs w:val="20"/>
        </w:rPr>
        <w:t>Även om det under normal drift renas kan katastrofala utsläpp ske av miljögifter vid olyckor, t.ex. rörbrott, översvämningar i anrikningsverket m.m. vilket skulle kunna vara förödande för sjön.</w:t>
      </w:r>
    </w:p>
    <w:p>
      <w:pPr>
        <w:pStyle w:val="Normal"/>
        <w:bidi w:val="0"/>
        <w:jc w:val="start"/>
        <w:rPr>
          <w:rFonts w:ascii="Arial" w:hAnsi="Arial"/>
          <w:sz w:val="20"/>
          <w:szCs w:val="20"/>
        </w:rPr>
      </w:pPr>
      <w:r>
        <w:rPr>
          <w:rFonts w:ascii="Arial" w:hAnsi="Arial"/>
          <w:sz w:val="20"/>
          <w:szCs w:val="20"/>
        </w:rPr>
        <w:t>Hur klarar anläggningen rening av vattnet vid nederbördsmängder som överstiger 350 m3/timme? Enligt SMHI kommer Jämtland tätare än idag att drabbas av extrem nederbörd.</w:t>
      </w:r>
    </w:p>
    <w:p>
      <w:pPr>
        <w:pStyle w:val="Normal"/>
        <w:bidi w:val="0"/>
        <w:jc w:val="start"/>
        <w:rPr>
          <w:rFonts w:ascii="Arial" w:hAnsi="Arial"/>
          <w:sz w:val="20"/>
          <w:szCs w:val="20"/>
        </w:rPr>
      </w:pPr>
      <w:r>
        <w:rPr>
          <w:rFonts w:ascii="Arial" w:hAnsi="Arial"/>
          <w:sz w:val="20"/>
          <w:szCs w:val="20"/>
        </w:rPr>
        <w:t>"Vattenbalansen visar att under genomsnittliga nederbördsförhållanden kommer anläggningen att generera behandling av 328 m3/h överskottsvatten, vilket stiger till 596 m3/h under maximala nederbördsförhållanden." Sid 55 bilaga A.</w:t>
      </w:r>
    </w:p>
    <w:p>
      <w:pPr>
        <w:pStyle w:val="Normal"/>
        <w:bidi w:val="0"/>
        <w:jc w:val="start"/>
        <w:rPr>
          <w:rFonts w:ascii="Arial" w:hAnsi="Arial"/>
          <w:sz w:val="20"/>
          <w:szCs w:val="20"/>
        </w:rPr>
      </w:pPr>
      <w:r>
        <w:rPr>
          <w:rFonts w:ascii="Arial" w:hAnsi="Arial"/>
          <w:sz w:val="20"/>
          <w:szCs w:val="20"/>
        </w:rPr>
        <w:t>"Vattnet kommer att behandlas i ett särskilt vattenreningsverk med en kapacitet på ca 350 m3/timme, baserat på genomsnittliga nederbördsmängder och med hänsyn tagen till perioder med nederbörd över genomsnittet." Sid 57 bilaga A.</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Konceptuell utvecklingsfas är ett begrepp som används i den tekniska beskrivningen under rubriken Brytning i alunskiffer sid 22 Bilaga A.</w:t>
      </w:r>
    </w:p>
    <w:p>
      <w:pPr>
        <w:pStyle w:val="Normal"/>
        <w:bidi w:val="0"/>
        <w:jc w:val="start"/>
        <w:rPr>
          <w:rFonts w:ascii="Arial" w:hAnsi="Arial"/>
          <w:sz w:val="20"/>
          <w:szCs w:val="20"/>
        </w:rPr>
      </w:pPr>
      <w:r>
        <w:rPr>
          <w:rFonts w:ascii="Arial" w:hAnsi="Arial"/>
          <w:sz w:val="20"/>
          <w:szCs w:val="20"/>
        </w:rPr>
        <w:t>"Bolaget har granskat historiska fallstudier och inkluderat lärdomar i processutvecklingen och beslutsfattandet kring avfallshantering. Detta kompletterar gruvutvecklingsprocesser enligt bästa praxis, såsom karakterisering av utvinningsavfall enligt EU:s riktlinjer, omfattande vattenhanteringsplanering och beaktande av efterbehandlingen under den konceptuella utvecklingsfasen."</w:t>
      </w:r>
    </w:p>
    <w:p>
      <w:pPr>
        <w:pStyle w:val="Normal"/>
        <w:bidi w:val="0"/>
        <w:jc w:val="start"/>
        <w:rPr>
          <w:rFonts w:ascii="Arial" w:hAnsi="Arial"/>
          <w:sz w:val="20"/>
          <w:szCs w:val="20"/>
        </w:rPr>
      </w:pPr>
      <w:r>
        <w:rPr>
          <w:rFonts w:ascii="Arial" w:hAnsi="Arial"/>
          <w:sz w:val="20"/>
          <w:szCs w:val="20"/>
        </w:rPr>
        <w:t>Beskrivningen i texten visar på bristande respekt för det faktum att det idag saknas metod för miljösäkert acceptabel brytning av alunskiffer.</w:t>
      </w:r>
    </w:p>
    <w:p>
      <w:pPr>
        <w:pStyle w:val="Normal"/>
        <w:bidi w:val="0"/>
        <w:jc w:val="start"/>
        <w:rPr>
          <w:rFonts w:ascii="Arial" w:hAnsi="Arial"/>
          <w:sz w:val="20"/>
          <w:szCs w:val="20"/>
        </w:rPr>
      </w:pPr>
      <w:r>
        <w:rPr>
          <w:rFonts w:ascii="Arial" w:hAnsi="Arial"/>
          <w:sz w:val="20"/>
          <w:szCs w:val="20"/>
        </w:rPr>
        <w:t>Jag vill kraftigt understryka att det inte är acceptabelt att bedriva konceptutveckling för att utröna bästa metod under påbörjad brytning i alunskiffer.</w:t>
      </w:r>
    </w:p>
    <w:p>
      <w:pPr>
        <w:pStyle w:val="Normal"/>
        <w:bidi w:val="0"/>
        <w:jc w:val="start"/>
        <w:rPr>
          <w:rFonts w:ascii="Arial" w:hAnsi="Arial"/>
          <w:sz w:val="20"/>
          <w:szCs w:val="20"/>
        </w:rPr>
      </w:pPr>
      <w:r>
        <w:rPr>
          <w:rFonts w:ascii="Arial" w:hAnsi="Arial"/>
          <w:sz w:val="20"/>
          <w:szCs w:val="20"/>
        </w:rPr>
        <w:t>Konceptet måste självklart vara utvecklat innan brytning påbörjas.</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Upplag för B-malm.</w:t>
      </w:r>
    </w:p>
    <w:p>
      <w:pPr>
        <w:pStyle w:val="Normal"/>
        <w:bidi w:val="0"/>
        <w:jc w:val="start"/>
        <w:rPr>
          <w:rFonts w:ascii="Arial" w:hAnsi="Arial"/>
          <w:sz w:val="20"/>
          <w:szCs w:val="20"/>
        </w:rPr>
      </w:pPr>
      <w:r>
        <w:rPr>
          <w:rFonts w:ascii="Arial" w:hAnsi="Arial"/>
          <w:sz w:val="20"/>
          <w:szCs w:val="20"/>
        </w:rPr>
        <w:t>Vanadis Battery Metals AB uppger att man först skall använda den malm som har de högsta halterna av vanadin.</w:t>
      </w:r>
    </w:p>
    <w:p>
      <w:pPr>
        <w:pStyle w:val="Normal"/>
        <w:bidi w:val="0"/>
        <w:jc w:val="start"/>
        <w:rPr>
          <w:rFonts w:ascii="Arial" w:hAnsi="Arial"/>
          <w:sz w:val="20"/>
          <w:szCs w:val="20"/>
        </w:rPr>
      </w:pPr>
      <w:r>
        <w:rPr>
          <w:rFonts w:ascii="Arial" w:hAnsi="Arial"/>
          <w:sz w:val="20"/>
          <w:szCs w:val="20"/>
        </w:rPr>
        <w:t>Därmed skall den sämre s.k. B-malmen läggas i deponi för senare användning.</w:t>
      </w:r>
    </w:p>
    <w:p>
      <w:pPr>
        <w:pStyle w:val="Normal"/>
        <w:bidi w:val="0"/>
        <w:jc w:val="start"/>
        <w:rPr>
          <w:rFonts w:ascii="Arial" w:hAnsi="Arial"/>
          <w:sz w:val="20"/>
          <w:szCs w:val="20"/>
        </w:rPr>
      </w:pPr>
      <w:r>
        <w:rPr>
          <w:rFonts w:ascii="Arial" w:hAnsi="Arial"/>
          <w:sz w:val="20"/>
          <w:szCs w:val="20"/>
        </w:rPr>
        <w:t>I detta fall kommer deponihögarna bland annat att innehålla uran.</w:t>
      </w:r>
    </w:p>
    <w:p>
      <w:pPr>
        <w:pStyle w:val="Normal"/>
        <w:bidi w:val="0"/>
        <w:jc w:val="start"/>
        <w:rPr>
          <w:rFonts w:ascii="Arial" w:hAnsi="Arial"/>
          <w:sz w:val="20"/>
          <w:szCs w:val="20"/>
        </w:rPr>
      </w:pPr>
      <w:r>
        <w:rPr>
          <w:rFonts w:ascii="Arial" w:hAnsi="Arial"/>
          <w:sz w:val="20"/>
          <w:szCs w:val="20"/>
        </w:rPr>
        <w:t>Riskerna med högar av finkrossat material av detta slag är stora och kräver omfattande hantering för att inte få metalläckage från gruvområdet.</w:t>
      </w:r>
    </w:p>
    <w:p>
      <w:pPr>
        <w:pStyle w:val="Normal"/>
        <w:bidi w:val="0"/>
        <w:jc w:val="start"/>
        <w:rPr>
          <w:rFonts w:ascii="Arial" w:hAnsi="Arial"/>
          <w:sz w:val="20"/>
          <w:szCs w:val="20"/>
        </w:rPr>
      </w:pPr>
      <w:r>
        <w:rPr>
          <w:rFonts w:ascii="Arial" w:hAnsi="Arial"/>
          <w:sz w:val="20"/>
          <w:szCs w:val="20"/>
        </w:rPr>
        <w:t>Detta gäller även upplagen av restmaterial, det gråberg som innehåller för låga halter av metaller för att tas om hand för utvinning.</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Buller och vibrationer.</w:t>
      </w:r>
    </w:p>
    <w:p>
      <w:pPr>
        <w:pStyle w:val="Normal"/>
        <w:bidi w:val="0"/>
        <w:jc w:val="start"/>
        <w:rPr>
          <w:rFonts w:ascii="Arial" w:hAnsi="Arial"/>
          <w:sz w:val="20"/>
          <w:szCs w:val="20"/>
        </w:rPr>
      </w:pPr>
      <w:r>
        <w:rPr>
          <w:rFonts w:ascii="Arial" w:hAnsi="Arial"/>
          <w:sz w:val="20"/>
          <w:szCs w:val="20"/>
        </w:rPr>
        <w:t>Störningarna från gruvområdet vad gäller buller och vibrationer är omöjliga att bedöma utifrån ansökan.</w:t>
      </w:r>
    </w:p>
    <w:p>
      <w:pPr>
        <w:pStyle w:val="Normal"/>
        <w:bidi w:val="0"/>
        <w:jc w:val="start"/>
        <w:rPr>
          <w:rFonts w:ascii="Arial" w:hAnsi="Arial"/>
          <w:sz w:val="20"/>
          <w:szCs w:val="20"/>
        </w:rPr>
      </w:pPr>
      <w:r>
        <w:rPr>
          <w:rFonts w:ascii="Arial" w:hAnsi="Arial"/>
          <w:sz w:val="20"/>
          <w:szCs w:val="20"/>
        </w:rPr>
        <w:t>Det finns ingen exakt beskrivning av hur gruvområdet skall utformas.</w:t>
      </w:r>
    </w:p>
    <w:p>
      <w:pPr>
        <w:pStyle w:val="Normal"/>
        <w:bidi w:val="0"/>
        <w:jc w:val="start"/>
        <w:rPr>
          <w:rFonts w:ascii="Arial" w:hAnsi="Arial"/>
          <w:sz w:val="20"/>
          <w:szCs w:val="20"/>
        </w:rPr>
      </w:pPr>
      <w:r>
        <w:rPr>
          <w:rFonts w:ascii="Arial" w:hAnsi="Arial"/>
          <w:sz w:val="20"/>
          <w:szCs w:val="20"/>
        </w:rPr>
        <w:t>Gruvor är en bullrande verksamhet som också orsakar vibrationer, i detta fall skulle den dessutom ligga nära bebyggelse.</w:t>
      </w:r>
    </w:p>
    <w:p>
      <w:pPr>
        <w:pStyle w:val="Normal"/>
        <w:bidi w:val="0"/>
        <w:jc w:val="start"/>
        <w:rPr>
          <w:rFonts w:ascii="Arial" w:hAnsi="Arial"/>
          <w:sz w:val="20"/>
          <w:szCs w:val="20"/>
        </w:rPr>
      </w:pPr>
      <w:r>
        <w:rPr>
          <w:rFonts w:ascii="Arial" w:hAnsi="Arial"/>
          <w:sz w:val="20"/>
          <w:szCs w:val="20"/>
        </w:rPr>
        <w:t>Bolagets försäkran om insatser för att minska bullret går inte att värdera utifrån det otydliga underlaget.</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Naturvärden och fåglar.</w:t>
      </w:r>
    </w:p>
    <w:p>
      <w:pPr>
        <w:pStyle w:val="Normal"/>
        <w:bidi w:val="0"/>
        <w:jc w:val="start"/>
        <w:rPr>
          <w:rFonts w:ascii="Arial" w:hAnsi="Arial"/>
          <w:sz w:val="20"/>
          <w:szCs w:val="20"/>
        </w:rPr>
      </w:pPr>
      <w:r>
        <w:rPr>
          <w:rFonts w:ascii="Arial" w:hAnsi="Arial"/>
          <w:sz w:val="20"/>
          <w:szCs w:val="20"/>
        </w:rPr>
        <w:t>Bolaget har valt att begära sekretess på bilagorna som innehåller bedömningar av naturvärden och förekomst av fåglar.</w:t>
      </w:r>
    </w:p>
    <w:p>
      <w:pPr>
        <w:pStyle w:val="Normal"/>
        <w:bidi w:val="0"/>
        <w:jc w:val="start"/>
        <w:rPr>
          <w:rFonts w:ascii="Arial" w:hAnsi="Arial"/>
          <w:sz w:val="20"/>
          <w:szCs w:val="20"/>
        </w:rPr>
      </w:pPr>
      <w:r>
        <w:rPr>
          <w:rFonts w:ascii="Arial" w:hAnsi="Arial"/>
          <w:sz w:val="20"/>
          <w:szCs w:val="20"/>
        </w:rPr>
        <w:t>Det är därmed omöjligt att uttala sig om hur fullvärdiga dessa inventeringar är.</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Transporterna.</w:t>
      </w:r>
    </w:p>
    <w:p>
      <w:pPr>
        <w:pStyle w:val="Normal"/>
        <w:bidi w:val="0"/>
        <w:jc w:val="start"/>
        <w:rPr>
          <w:rFonts w:ascii="Arial" w:hAnsi="Arial"/>
          <w:sz w:val="20"/>
          <w:szCs w:val="20"/>
        </w:rPr>
      </w:pPr>
      <w:r>
        <w:rPr>
          <w:rFonts w:ascii="Arial" w:hAnsi="Arial"/>
          <w:sz w:val="20"/>
          <w:szCs w:val="20"/>
        </w:rPr>
        <w:t>Det finns flera oklara uppgifter vad gäller omfattningen av transporter.</w:t>
      </w:r>
    </w:p>
    <w:p>
      <w:pPr>
        <w:pStyle w:val="Normal"/>
        <w:bidi w:val="0"/>
        <w:jc w:val="start"/>
        <w:rPr>
          <w:rFonts w:ascii="Arial" w:hAnsi="Arial"/>
          <w:sz w:val="20"/>
          <w:szCs w:val="20"/>
        </w:rPr>
      </w:pPr>
      <w:r>
        <w:rPr>
          <w:rFonts w:ascii="Arial" w:hAnsi="Arial"/>
          <w:sz w:val="20"/>
          <w:szCs w:val="20"/>
        </w:rPr>
        <w:t>Bolaget anger att det kommer att köras 44 transporter till och från gruvan dagligen i vardera riktningen.</w:t>
      </w:r>
    </w:p>
    <w:p>
      <w:pPr>
        <w:pStyle w:val="Normal"/>
        <w:bidi w:val="0"/>
        <w:jc w:val="start"/>
        <w:rPr>
          <w:rFonts w:ascii="Arial" w:hAnsi="Arial"/>
          <w:sz w:val="20"/>
          <w:szCs w:val="20"/>
        </w:rPr>
      </w:pPr>
      <w:r>
        <w:rPr>
          <w:rFonts w:ascii="Arial" w:hAnsi="Arial"/>
          <w:sz w:val="20"/>
          <w:szCs w:val="20"/>
        </w:rPr>
        <w:t>Samtidigt finns uppgiften att 8 transporter dagligen förväntas lämna gruvan med produkter.</w:t>
      </w:r>
    </w:p>
    <w:p>
      <w:pPr>
        <w:pStyle w:val="Normal"/>
        <w:bidi w:val="0"/>
        <w:jc w:val="start"/>
        <w:rPr>
          <w:rFonts w:ascii="Arial" w:hAnsi="Arial"/>
          <w:sz w:val="20"/>
          <w:szCs w:val="20"/>
        </w:rPr>
      </w:pPr>
      <w:r>
        <w:rPr>
          <w:rFonts w:ascii="Arial" w:hAnsi="Arial"/>
          <w:sz w:val="20"/>
          <w:szCs w:val="20"/>
        </w:rPr>
        <w:t>Enbart den förväntade produktionen av kaliumsulfat, 217 000 ton, borde innebära femton transporter a 40 ton dagligen.</w:t>
      </w:r>
    </w:p>
    <w:p>
      <w:pPr>
        <w:pStyle w:val="Normal"/>
        <w:bidi w:val="0"/>
        <w:jc w:val="start"/>
        <w:rPr>
          <w:rFonts w:ascii="Arial" w:hAnsi="Arial"/>
          <w:sz w:val="20"/>
          <w:szCs w:val="20"/>
        </w:rPr>
      </w:pPr>
      <w:r>
        <w:rPr>
          <w:rFonts w:ascii="Arial" w:hAnsi="Arial"/>
          <w:sz w:val="20"/>
          <w:szCs w:val="20"/>
        </w:rPr>
        <w:t>Dessa uppgifter behöver förtydligas.</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Utsläpp av klimatgaser.</w:t>
      </w:r>
    </w:p>
    <w:p>
      <w:pPr>
        <w:pStyle w:val="Normal"/>
        <w:bidi w:val="0"/>
        <w:jc w:val="start"/>
        <w:rPr>
          <w:rFonts w:ascii="Arial" w:hAnsi="Arial"/>
          <w:sz w:val="20"/>
          <w:szCs w:val="20"/>
        </w:rPr>
      </w:pPr>
      <w:r>
        <w:rPr>
          <w:rFonts w:ascii="Arial" w:hAnsi="Arial"/>
          <w:sz w:val="20"/>
          <w:szCs w:val="20"/>
        </w:rPr>
        <w:t>I miljökonsekvensbeskrivningen anges följande angående bedömning av påverkan på relevanta miljökvalitetsmål.</w:t>
      </w:r>
    </w:p>
    <w:p>
      <w:pPr>
        <w:pStyle w:val="Normal"/>
        <w:bidi w:val="0"/>
        <w:jc w:val="start"/>
        <w:rPr>
          <w:rFonts w:ascii="Arial" w:hAnsi="Arial"/>
          <w:sz w:val="20"/>
          <w:szCs w:val="20"/>
        </w:rPr>
      </w:pPr>
      <w:r>
        <w:rPr>
          <w:rFonts w:ascii="Arial" w:hAnsi="Arial"/>
          <w:sz w:val="20"/>
          <w:szCs w:val="20"/>
        </w:rPr>
        <w:t>"Utsläpp av växthusgaser från den planerade gruvverksamheten kommer att uppkomma till följd av transporter/arbetsfordon, elförbrukning och spränggaser. Utsläppen bedöms inte vara av den omfattningen att det förhindrar måluppfyllelsen".</w:t>
      </w:r>
    </w:p>
    <w:p>
      <w:pPr>
        <w:pStyle w:val="Normal"/>
        <w:bidi w:val="0"/>
        <w:jc w:val="start"/>
        <w:rPr>
          <w:rFonts w:ascii="Arial" w:hAnsi="Arial"/>
          <w:sz w:val="20"/>
          <w:szCs w:val="20"/>
        </w:rPr>
      </w:pPr>
      <w:r>
        <w:rPr>
          <w:rFonts w:ascii="Arial" w:hAnsi="Arial"/>
          <w:sz w:val="20"/>
          <w:szCs w:val="20"/>
        </w:rPr>
        <w:t>Det är utan tvekan felaktigt.</w:t>
      </w:r>
    </w:p>
    <w:p>
      <w:pPr>
        <w:pStyle w:val="Normal"/>
        <w:bidi w:val="0"/>
        <w:jc w:val="start"/>
        <w:rPr>
          <w:rFonts w:ascii="Arial" w:hAnsi="Arial"/>
          <w:sz w:val="20"/>
          <w:szCs w:val="20"/>
        </w:rPr>
      </w:pPr>
      <w:r>
        <w:rPr>
          <w:rFonts w:ascii="Arial" w:hAnsi="Arial"/>
          <w:sz w:val="20"/>
          <w:szCs w:val="20"/>
        </w:rPr>
        <w:t>Mer än 10 procent av koldioxiden som släpps ut i Sverige kommer från gruvbrytning och metallförädling. Då är inte transporterna medräknade.</w:t>
      </w:r>
    </w:p>
    <w:p>
      <w:pPr>
        <w:pStyle w:val="Normal"/>
        <w:bidi w:val="0"/>
        <w:jc w:val="start"/>
        <w:rPr>
          <w:rFonts w:ascii="Arial" w:hAnsi="Arial"/>
          <w:sz w:val="20"/>
          <w:szCs w:val="20"/>
        </w:rPr>
      </w:pPr>
      <w:r>
        <w:rPr>
          <w:rFonts w:ascii="Arial" w:hAnsi="Arial"/>
          <w:sz w:val="20"/>
          <w:szCs w:val="20"/>
        </w:rPr>
        <w:t>De samlade utsläppen i Sverige skall enligt beslut i riksdagen vara netto noll år 2045, vilket innebär att den verksamhet som ansökan avser vid denna tidpunkt fortfarande skulle vara i drift.</w:t>
      </w:r>
    </w:p>
    <w:p>
      <w:pPr>
        <w:pStyle w:val="Normal"/>
        <w:bidi w:val="0"/>
        <w:jc w:val="start"/>
        <w:rPr>
          <w:rFonts w:ascii="Arial" w:hAnsi="Arial"/>
          <w:sz w:val="20"/>
          <w:szCs w:val="20"/>
        </w:rPr>
      </w:pPr>
      <w:r>
        <w:rPr>
          <w:rFonts w:ascii="Arial" w:hAnsi="Arial"/>
          <w:sz w:val="20"/>
          <w:szCs w:val="20"/>
        </w:rPr>
        <w:t>Bolaget har inte angivit någon plan för hur man tänker sig klara fossilfri produktion fram till 2045, eller överhuvudtaget minska sina utsläpp.</w:t>
      </w:r>
    </w:p>
    <w:p>
      <w:pPr>
        <w:pStyle w:val="Normal"/>
        <w:bidi w:val="0"/>
        <w:jc w:val="start"/>
        <w:rPr>
          <w:rFonts w:ascii="Arial" w:hAnsi="Arial"/>
          <w:sz w:val="20"/>
          <w:szCs w:val="20"/>
        </w:rPr>
      </w:pPr>
      <w:r>
        <w:rPr>
          <w:rFonts w:ascii="Arial" w:hAnsi="Arial"/>
          <w:sz w:val="20"/>
          <w:szCs w:val="20"/>
        </w:rPr>
        <w:t>"Avsikten är att maskiner och utrustning som används i verksamheten i det längsta ska vara eldrivna. Detta förutsätter att eldrivna alternativ finns att tillgå vid anskaffande av maskinpark och utrustning" Sid 110 miljökonsekvensbeskrivningen.</w:t>
      </w:r>
    </w:p>
    <w:p>
      <w:pPr>
        <w:pStyle w:val="Normal"/>
        <w:bidi w:val="0"/>
        <w:jc w:val="start"/>
        <w:rPr>
          <w:rFonts w:ascii="Arial" w:hAnsi="Arial"/>
          <w:sz w:val="20"/>
          <w:szCs w:val="20"/>
        </w:rPr>
      </w:pPr>
      <w:r>
        <w:rPr>
          <w:rFonts w:ascii="Arial" w:hAnsi="Arial"/>
          <w:sz w:val="20"/>
          <w:szCs w:val="20"/>
        </w:rPr>
        <w:t>Konstaterandet innebär inte någon sorts åtagande från bolagets sida.</w:t>
      </w:r>
    </w:p>
    <w:p>
      <w:pPr>
        <w:pStyle w:val="Normal"/>
        <w:bidi w:val="0"/>
        <w:jc w:val="start"/>
        <w:rPr>
          <w:rFonts w:ascii="Arial" w:hAnsi="Arial"/>
          <w:sz w:val="20"/>
          <w:szCs w:val="20"/>
        </w:rPr>
      </w:pPr>
      <w:r>
        <w:rPr>
          <w:rFonts w:ascii="Arial" w:hAnsi="Arial"/>
          <w:sz w:val="20"/>
          <w:szCs w:val="20"/>
        </w:rPr>
        <w:t>Jag kan inte tolka detta på annat sätt än att bolaget avser att bortse ifrån klimatåtaganden eller inte är införstådda med dessa.</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Krav på beskrivning av tillämplig metod för utvinning.</w:t>
      </w:r>
    </w:p>
    <w:p>
      <w:pPr>
        <w:pStyle w:val="Normal"/>
        <w:bidi w:val="0"/>
        <w:jc w:val="start"/>
        <w:rPr>
          <w:rFonts w:ascii="Arial" w:hAnsi="Arial"/>
          <w:sz w:val="20"/>
          <w:szCs w:val="20"/>
        </w:rPr>
      </w:pPr>
      <w:r>
        <w:rPr>
          <w:rFonts w:ascii="Arial" w:hAnsi="Arial"/>
          <w:sz w:val="20"/>
          <w:szCs w:val="20"/>
        </w:rPr>
        <w:t>Bolaget hänvisar i den tekniska beskrivningen i stora drag till BAT, best available technic, alternativt att en fördjupad beskrivning kommer att göras i en senare eventuell miljöprövning.</w:t>
      </w:r>
    </w:p>
    <w:p>
      <w:pPr>
        <w:pStyle w:val="Normal"/>
        <w:bidi w:val="0"/>
        <w:jc w:val="start"/>
        <w:rPr>
          <w:rFonts w:ascii="Arial" w:hAnsi="Arial"/>
          <w:sz w:val="20"/>
          <w:szCs w:val="20"/>
        </w:rPr>
      </w:pPr>
      <w:r>
        <w:rPr>
          <w:rFonts w:ascii="Arial" w:hAnsi="Arial"/>
          <w:sz w:val="20"/>
          <w:szCs w:val="20"/>
        </w:rPr>
        <w:t>Sammantaget innebär detta att det inte går att bedöma metodens tillämplighet.</w:t>
      </w:r>
    </w:p>
    <w:p>
      <w:pPr>
        <w:pStyle w:val="Normal"/>
        <w:bidi w:val="0"/>
        <w:jc w:val="start"/>
        <w:rPr>
          <w:rFonts w:ascii="Arial" w:hAnsi="Arial"/>
          <w:sz w:val="20"/>
          <w:szCs w:val="20"/>
        </w:rPr>
      </w:pPr>
      <w:r>
        <w:rPr>
          <w:rFonts w:ascii="Arial" w:hAnsi="Arial"/>
          <w:sz w:val="20"/>
          <w:szCs w:val="20"/>
        </w:rPr>
        <w:t>Jag vill påminna om att det saknas miljömässigt säker metod för brytning i alunskiffer vilket innebär att hänvisning till BAT eller en fördjupad beskrivning vid senare eventuell prövning saknar betydelse.</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Det är inte möjligt att bedöma hur stort påverkansområdet blir.</w:t>
      </w:r>
    </w:p>
    <w:p>
      <w:pPr>
        <w:pStyle w:val="Normal"/>
        <w:bidi w:val="0"/>
        <w:jc w:val="start"/>
        <w:rPr>
          <w:rFonts w:ascii="Arial" w:hAnsi="Arial"/>
          <w:sz w:val="20"/>
          <w:szCs w:val="20"/>
        </w:rPr>
      </w:pPr>
      <w:r>
        <w:rPr>
          <w:rFonts w:ascii="Arial" w:hAnsi="Arial"/>
          <w:sz w:val="20"/>
          <w:szCs w:val="20"/>
        </w:rPr>
        <w:t>Stenkast och luftstötvågor nämns i ansökan utifrån att det kan påverka omgivningen på daglig basis.</w:t>
      </w:r>
    </w:p>
    <w:p>
      <w:pPr>
        <w:pStyle w:val="Normal"/>
        <w:bidi w:val="0"/>
        <w:jc w:val="start"/>
        <w:rPr>
          <w:rFonts w:ascii="Arial" w:hAnsi="Arial"/>
          <w:sz w:val="20"/>
          <w:szCs w:val="20"/>
        </w:rPr>
      </w:pPr>
      <w:r>
        <w:rPr>
          <w:rFonts w:ascii="Arial" w:hAnsi="Arial"/>
          <w:sz w:val="20"/>
          <w:szCs w:val="20"/>
        </w:rPr>
        <w:t>Enligt bolaget krävs en skyddszon på 1000 meter kring dagbrottet under de första åren gruvan är i drift.</w:t>
      </w:r>
    </w:p>
    <w:p>
      <w:pPr>
        <w:pStyle w:val="Normal"/>
        <w:bidi w:val="0"/>
        <w:jc w:val="start"/>
        <w:rPr>
          <w:rFonts w:ascii="Arial" w:hAnsi="Arial"/>
          <w:sz w:val="20"/>
          <w:szCs w:val="20"/>
        </w:rPr>
      </w:pPr>
      <w:r>
        <w:rPr>
          <w:rFonts w:ascii="Arial" w:hAnsi="Arial"/>
          <w:sz w:val="20"/>
          <w:szCs w:val="20"/>
        </w:rPr>
        <w:t>Hur långt ifrån gruvan omgivningen kommer att påverkas av dammspridning, buller och vibrationer är oklart utifrån vad som beskrivs i ansökan.</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Jag anser att Vanadis Battery Metals AB:s uttalade avsikt om utökad brytning måste tas i beaktande.</w:t>
      </w:r>
    </w:p>
    <w:p>
      <w:pPr>
        <w:pStyle w:val="Normal"/>
        <w:bidi w:val="0"/>
        <w:jc w:val="start"/>
        <w:rPr>
          <w:rFonts w:ascii="Arial" w:hAnsi="Arial"/>
          <w:sz w:val="20"/>
          <w:szCs w:val="20"/>
        </w:rPr>
      </w:pPr>
      <w:r>
        <w:rPr>
          <w:rFonts w:ascii="Arial" w:hAnsi="Arial"/>
          <w:sz w:val="20"/>
          <w:szCs w:val="20"/>
        </w:rPr>
        <w:t>I ansökan uppges att verksamheten kommer att pågå i ca 17 år, med brytning omfattande ca 65 miljoner ton.</w:t>
      </w:r>
    </w:p>
    <w:p>
      <w:pPr>
        <w:pStyle w:val="Normal"/>
        <w:bidi w:val="0"/>
        <w:jc w:val="start"/>
        <w:rPr>
          <w:rFonts w:ascii="Arial" w:hAnsi="Arial"/>
          <w:sz w:val="20"/>
          <w:szCs w:val="20"/>
        </w:rPr>
      </w:pPr>
      <w:r>
        <w:rPr>
          <w:rFonts w:ascii="Arial" w:hAnsi="Arial"/>
          <w:sz w:val="20"/>
          <w:szCs w:val="20"/>
        </w:rPr>
        <w:t>Fyndigheten i Oviken är dock betydligt större, ca 1,9 miljarder ton.</w:t>
      </w:r>
    </w:p>
    <w:p>
      <w:pPr>
        <w:pStyle w:val="Normal"/>
        <w:bidi w:val="0"/>
        <w:jc w:val="start"/>
        <w:rPr>
          <w:rFonts w:ascii="Arial" w:hAnsi="Arial"/>
          <w:sz w:val="20"/>
          <w:szCs w:val="20"/>
        </w:rPr>
      </w:pPr>
      <w:r>
        <w:rPr>
          <w:rFonts w:ascii="Arial" w:hAnsi="Arial"/>
          <w:sz w:val="20"/>
          <w:szCs w:val="20"/>
        </w:rPr>
        <w:t>På bolagets hemsida skrivs att verksamhet i Oviken kan komma att pågå i 100 år.</w:t>
      </w:r>
    </w:p>
    <w:p>
      <w:pPr>
        <w:pStyle w:val="Normal"/>
        <w:bidi w:val="0"/>
        <w:jc w:val="start"/>
        <w:rPr>
          <w:rFonts w:ascii="Arial" w:hAnsi="Arial"/>
          <w:sz w:val="20"/>
          <w:szCs w:val="20"/>
        </w:rPr>
      </w:pPr>
      <w:r>
        <w:rPr>
          <w:rFonts w:ascii="Arial" w:hAnsi="Arial"/>
          <w:sz w:val="20"/>
          <w:szCs w:val="20"/>
        </w:rPr>
        <w:t>Därmed är det uppenbart att företaget har för avsikt att väsentligt utöka gruvverksamheten.</w:t>
      </w:r>
    </w:p>
    <w:p>
      <w:pPr>
        <w:pStyle w:val="Normal"/>
        <w:bidi w:val="0"/>
        <w:jc w:val="start"/>
        <w:rPr>
          <w:rFonts w:ascii="Arial" w:hAnsi="Arial"/>
          <w:sz w:val="20"/>
          <w:szCs w:val="20"/>
        </w:rPr>
      </w:pPr>
      <w:r>
        <w:rPr>
          <w:rFonts w:ascii="Arial" w:hAnsi="Arial"/>
          <w:sz w:val="20"/>
          <w:szCs w:val="20"/>
        </w:rPr>
        <w:t>Detta perspektiv bör tas i beaktande vid bedömningen av om bolaget skall ges tillåtlig bearbetningskoncession.</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Brytning av mineral i Oviken är inte förenligt med långsiktigt god hushållning med mark och vatten på det sätt som miljöbalken föreskriver.</w:t>
      </w:r>
    </w:p>
    <w:p>
      <w:pPr>
        <w:pStyle w:val="Normal"/>
        <w:bidi w:val="0"/>
        <w:jc w:val="start"/>
        <w:rPr>
          <w:rFonts w:ascii="Arial" w:hAnsi="Arial"/>
          <w:sz w:val="20"/>
          <w:szCs w:val="20"/>
        </w:rPr>
      </w:pPr>
      <w:r>
        <w:rPr>
          <w:rFonts w:ascii="Arial" w:hAnsi="Arial"/>
          <w:sz w:val="20"/>
          <w:szCs w:val="20"/>
        </w:rPr>
        <w:t>Reglerna i miljöbalken syftar till att främja användning av mark, vatten och fysisk miljö så att en långsiktigt god hushållning tryggas.</w:t>
      </w:r>
    </w:p>
    <w:p>
      <w:pPr>
        <w:pStyle w:val="Normal"/>
        <w:bidi w:val="0"/>
        <w:jc w:val="start"/>
        <w:rPr>
          <w:rFonts w:ascii="Arial" w:hAnsi="Arial"/>
          <w:sz w:val="20"/>
          <w:szCs w:val="20"/>
        </w:rPr>
      </w:pPr>
      <w:r>
        <w:rPr>
          <w:rFonts w:ascii="Arial" w:hAnsi="Arial"/>
          <w:sz w:val="20"/>
          <w:szCs w:val="20"/>
        </w:rPr>
        <w:t>Miljöbalkens 3 kap. 4§ slår fast att jord- och skogsbruk är av nationell betydelse.</w:t>
      </w:r>
    </w:p>
    <w:p>
      <w:pPr>
        <w:pStyle w:val="Normal"/>
        <w:bidi w:val="0"/>
        <w:jc w:val="start"/>
        <w:rPr>
          <w:rFonts w:ascii="Arial" w:hAnsi="Arial"/>
          <w:sz w:val="20"/>
          <w:szCs w:val="20"/>
        </w:rPr>
      </w:pPr>
      <w:r>
        <w:rPr>
          <w:rFonts w:ascii="Arial" w:hAnsi="Arial"/>
          <w:sz w:val="20"/>
          <w:szCs w:val="20"/>
        </w:rPr>
        <w:t>Jordbruksmark är en ändlig resurs, det tillkommer ingen ny, och den är en förutsättning för hållbar livsmedelsproduktion.</w:t>
      </w:r>
    </w:p>
    <w:p>
      <w:pPr>
        <w:pStyle w:val="Normal"/>
        <w:bidi w:val="0"/>
        <w:jc w:val="start"/>
        <w:rPr>
          <w:rFonts w:ascii="Arial" w:hAnsi="Arial"/>
          <w:sz w:val="20"/>
          <w:szCs w:val="20"/>
        </w:rPr>
      </w:pPr>
      <w:r>
        <w:rPr>
          <w:rFonts w:ascii="Arial" w:hAnsi="Arial"/>
          <w:sz w:val="20"/>
          <w:szCs w:val="20"/>
        </w:rPr>
        <w:t>Utöver detta fyller jordbruksmarken viktiga funktioner av andra slag, dit hör bevarandet av arter, inbindning av koldioxid i åker- och betesmark och buffring av stora vattenflöden vid kraftiga regn.</w:t>
      </w:r>
    </w:p>
    <w:p>
      <w:pPr>
        <w:pStyle w:val="Normal"/>
        <w:bidi w:val="0"/>
        <w:jc w:val="start"/>
        <w:rPr>
          <w:rFonts w:ascii="Arial" w:hAnsi="Arial"/>
          <w:sz w:val="20"/>
          <w:szCs w:val="20"/>
        </w:rPr>
      </w:pPr>
      <w:r>
        <w:rPr>
          <w:rFonts w:ascii="Arial" w:hAnsi="Arial"/>
          <w:sz w:val="20"/>
          <w:szCs w:val="20"/>
        </w:rPr>
        <w:t>Allt detta kräver aktivt brukande av marken. Jordbruksmarken är platsbunden och kan inte flyttas någon annanstans.</w:t>
      </w:r>
    </w:p>
    <w:p>
      <w:pPr>
        <w:pStyle w:val="Normal"/>
        <w:bidi w:val="0"/>
        <w:jc w:val="start"/>
        <w:rPr>
          <w:rFonts w:ascii="Arial" w:hAnsi="Arial"/>
          <w:sz w:val="20"/>
          <w:szCs w:val="20"/>
        </w:rPr>
      </w:pPr>
      <w:r>
        <w:rPr>
          <w:rFonts w:ascii="Arial" w:hAnsi="Arial"/>
          <w:sz w:val="20"/>
          <w:szCs w:val="20"/>
        </w:rPr>
        <w:t>På global nivå minskade jordbruksarealen enligt FAO med 91 miljoner hektar mellan 2000 och 2022 och den negativa utvecklingen fortsätter.</w:t>
      </w:r>
    </w:p>
    <w:p>
      <w:pPr>
        <w:pStyle w:val="Normal"/>
        <w:bidi w:val="0"/>
        <w:jc w:val="start"/>
        <w:rPr>
          <w:rFonts w:ascii="Arial" w:hAnsi="Arial"/>
          <w:sz w:val="20"/>
          <w:szCs w:val="20"/>
        </w:rPr>
      </w:pPr>
      <w:r>
        <w:rPr>
          <w:rFonts w:ascii="Arial" w:hAnsi="Arial"/>
          <w:sz w:val="20"/>
          <w:szCs w:val="20"/>
        </w:rPr>
        <w:t>Enligt Jordbruksverket försvinner årligen ca 600 hektar jordbruksmark i Sverige.</w:t>
      </w:r>
    </w:p>
    <w:p>
      <w:pPr>
        <w:pStyle w:val="Normal"/>
        <w:bidi w:val="0"/>
        <w:jc w:val="start"/>
        <w:rPr>
          <w:rFonts w:ascii="Arial" w:hAnsi="Arial"/>
          <w:sz w:val="20"/>
          <w:szCs w:val="20"/>
        </w:rPr>
      </w:pPr>
      <w:r>
        <w:rPr>
          <w:rFonts w:ascii="Arial" w:hAnsi="Arial"/>
          <w:sz w:val="20"/>
          <w:szCs w:val="20"/>
        </w:rPr>
        <w:t>Jordbruket skulle utan tvekan påverkas mycket negativt av en gruvetablering, trots att det nu ansökta koncessionsområdet inte omfattar jordbruksmark.</w:t>
      </w:r>
    </w:p>
    <w:p>
      <w:pPr>
        <w:pStyle w:val="Normal"/>
        <w:bidi w:val="0"/>
        <w:jc w:val="start"/>
        <w:rPr>
          <w:rFonts w:ascii="Arial" w:hAnsi="Arial"/>
          <w:sz w:val="20"/>
          <w:szCs w:val="20"/>
        </w:rPr>
      </w:pPr>
      <w:r>
        <w:rPr>
          <w:rFonts w:ascii="Arial" w:hAnsi="Arial"/>
          <w:sz w:val="20"/>
          <w:szCs w:val="20"/>
        </w:rPr>
        <w:t>Förutom de omfattande riskerna kopplat till brytning i alunskiffer och damningsproblematik så är bolaget mycket tydliga med att man avser att utöka området för brytning avsevärt.</w:t>
      </w:r>
    </w:p>
    <w:p>
      <w:pPr>
        <w:pStyle w:val="Normal"/>
        <w:bidi w:val="0"/>
        <w:jc w:val="start"/>
        <w:rPr>
          <w:rFonts w:ascii="Arial" w:hAnsi="Arial"/>
          <w:sz w:val="20"/>
          <w:szCs w:val="20"/>
        </w:rPr>
      </w:pPr>
      <w:r>
        <w:rPr>
          <w:rFonts w:ascii="Arial" w:hAnsi="Arial"/>
          <w:sz w:val="20"/>
          <w:szCs w:val="20"/>
        </w:rPr>
        <w:t>Storsjöbygden har bördig jordbruksmark med god tillgång till vatten. Odling av korn i området har spårats ända till 400-talet, vilket för breddgraden är ett mycket ovanligt fynd.</w:t>
      </w:r>
    </w:p>
    <w:p>
      <w:pPr>
        <w:pStyle w:val="Normal"/>
        <w:bidi w:val="0"/>
        <w:jc w:val="start"/>
        <w:rPr>
          <w:rFonts w:ascii="Arial" w:hAnsi="Arial"/>
          <w:sz w:val="20"/>
          <w:szCs w:val="20"/>
        </w:rPr>
      </w:pPr>
      <w:r>
        <w:rPr>
          <w:rFonts w:ascii="Arial" w:hAnsi="Arial"/>
          <w:sz w:val="20"/>
          <w:szCs w:val="20"/>
        </w:rPr>
        <w:t>Den svenska Livsmedelsstrategin har ett parlamentariskt stöd över alla partigränser, med målet att öka produktionen av livsmedel i hela landet.</w:t>
      </w:r>
    </w:p>
    <w:p>
      <w:pPr>
        <w:pStyle w:val="Normal"/>
        <w:bidi w:val="0"/>
        <w:jc w:val="start"/>
        <w:rPr>
          <w:rFonts w:ascii="Arial" w:hAnsi="Arial"/>
          <w:sz w:val="20"/>
          <w:szCs w:val="20"/>
        </w:rPr>
      </w:pPr>
      <w:r>
        <w:rPr>
          <w:rFonts w:ascii="Arial" w:hAnsi="Arial"/>
          <w:sz w:val="20"/>
          <w:szCs w:val="20"/>
        </w:rPr>
        <w:t>Mycket pekar på att klimatförändringarna kommer att påverka förutsättningarna för livsmedelsproduktion på ett positivt sätt i Jämtland, till skillnad från stora delar av världen där klimatförändringarna kommer att innebära stora utmaningar för matproduktionen.</w:t>
      </w:r>
    </w:p>
    <w:p>
      <w:pPr>
        <w:pStyle w:val="Normal"/>
        <w:bidi w:val="0"/>
        <w:jc w:val="start"/>
        <w:rPr>
          <w:rFonts w:ascii="Arial" w:hAnsi="Arial"/>
          <w:sz w:val="20"/>
          <w:szCs w:val="20"/>
        </w:rPr>
      </w:pPr>
      <w:r>
        <w:rPr>
          <w:rFonts w:ascii="Arial" w:hAnsi="Arial"/>
          <w:sz w:val="20"/>
          <w:szCs w:val="20"/>
        </w:rPr>
        <w:t>Sveriges självförsörjningsgrad av livsmedel ligger idag på ungefär 50 procent. Resten är importerat. Det kan jämföras med till exempel Finlands 80 procent och Danmarks 150 procent.</w:t>
      </w:r>
    </w:p>
    <w:p>
      <w:pPr>
        <w:pStyle w:val="Normal"/>
        <w:bidi w:val="0"/>
        <w:jc w:val="start"/>
        <w:rPr>
          <w:rFonts w:ascii="Arial" w:hAnsi="Arial"/>
          <w:sz w:val="20"/>
          <w:szCs w:val="20"/>
        </w:rPr>
      </w:pPr>
      <w:r>
        <w:rPr>
          <w:rFonts w:ascii="Arial" w:hAnsi="Arial"/>
          <w:sz w:val="20"/>
          <w:szCs w:val="20"/>
        </w:rPr>
        <w:t>Ur ett beredskapsperspektiv lyfts detta allt oftare inte minst till följd av Ukraina-krigets utbrott, men också som en del i åtaganden inom Natomedlemskapet, vilket stipulerar god försörjningsförmåga.</w:t>
      </w:r>
    </w:p>
    <w:p>
      <w:pPr>
        <w:pStyle w:val="Normal"/>
        <w:bidi w:val="0"/>
        <w:jc w:val="start"/>
        <w:rPr>
          <w:rFonts w:ascii="Arial" w:hAnsi="Arial"/>
          <w:sz w:val="20"/>
          <w:szCs w:val="20"/>
        </w:rPr>
      </w:pPr>
      <w:r>
        <w:rPr>
          <w:rFonts w:ascii="Arial" w:hAnsi="Arial"/>
          <w:sz w:val="20"/>
          <w:szCs w:val="20"/>
        </w:rPr>
        <w:t>Livsmedelsförsörjning är en av de viktigaste samhällsfunktionerna som måste fungera vid höjd beredskap och krig, vilket är en tydlig inriktning i den pågående uppdateringen av Livsmedelsstrategin.</w:t>
      </w:r>
    </w:p>
    <w:p>
      <w:pPr>
        <w:pStyle w:val="Normal"/>
        <w:bidi w:val="0"/>
        <w:jc w:val="start"/>
        <w:rPr>
          <w:rFonts w:ascii="Arial" w:hAnsi="Arial"/>
          <w:sz w:val="20"/>
          <w:szCs w:val="20"/>
        </w:rPr>
      </w:pPr>
      <w:r>
        <w:rPr>
          <w:rFonts w:ascii="Arial" w:hAnsi="Arial"/>
          <w:sz w:val="20"/>
          <w:szCs w:val="20"/>
        </w:rPr>
        <w:t>För de norra delarna av landet med glesa områden och låg andel jordbruksmark ställer det särskilda krav på tydlig prioritering av livsmedelsproduktionen.</w:t>
      </w:r>
    </w:p>
    <w:p>
      <w:pPr>
        <w:pStyle w:val="Normal"/>
        <w:bidi w:val="0"/>
        <w:jc w:val="start"/>
        <w:rPr>
          <w:rFonts w:ascii="Arial" w:hAnsi="Arial"/>
          <w:sz w:val="20"/>
          <w:szCs w:val="20"/>
        </w:rPr>
      </w:pPr>
      <w:r>
        <w:rPr>
          <w:rFonts w:ascii="Arial" w:hAnsi="Arial"/>
          <w:sz w:val="20"/>
          <w:szCs w:val="20"/>
        </w:rPr>
        <w:t>Med dessa perspektiv kommer jordbruket omkring Storsjön att fylla en alltmer kritisk och viktig funktion.</w:t>
      </w:r>
    </w:p>
    <w:p>
      <w:pPr>
        <w:pStyle w:val="Normal"/>
        <w:bidi w:val="0"/>
        <w:jc w:val="start"/>
        <w:rPr>
          <w:rFonts w:ascii="Arial" w:hAnsi="Arial"/>
          <w:sz w:val="20"/>
          <w:szCs w:val="20"/>
        </w:rPr>
      </w:pPr>
      <w:r>
        <w:rPr>
          <w:rFonts w:ascii="Arial" w:hAnsi="Arial"/>
          <w:sz w:val="20"/>
          <w:szCs w:val="20"/>
        </w:rPr>
        <w:t>I Jämtland utgör jordbruksmarken endast 1 procent av länets areal att jämföra med Sverige som helhet där siffran är 7 procent.</w:t>
      </w:r>
    </w:p>
    <w:p>
      <w:pPr>
        <w:pStyle w:val="Normal"/>
        <w:bidi w:val="0"/>
        <w:jc w:val="start"/>
        <w:rPr>
          <w:rFonts w:ascii="Arial" w:hAnsi="Arial"/>
          <w:sz w:val="20"/>
          <w:szCs w:val="20"/>
        </w:rPr>
      </w:pPr>
      <w:r>
        <w:rPr>
          <w:rFonts w:ascii="Arial" w:hAnsi="Arial"/>
          <w:sz w:val="20"/>
          <w:szCs w:val="20"/>
        </w:rPr>
        <w:t>Jag anser att ansökan om bearbetningskoncession skall avslås med hänsyn till:</w:t>
      </w:r>
    </w:p>
    <w:p>
      <w:pPr>
        <w:pStyle w:val="Normal"/>
        <w:bidi w:val="0"/>
        <w:jc w:val="start"/>
        <w:rPr>
          <w:rFonts w:ascii="Arial" w:hAnsi="Arial"/>
          <w:sz w:val="20"/>
          <w:szCs w:val="20"/>
        </w:rPr>
      </w:pPr>
      <w:r>
        <w:rPr>
          <w:rFonts w:ascii="Arial" w:hAnsi="Arial"/>
          <w:sz w:val="20"/>
          <w:szCs w:val="20"/>
        </w:rPr>
        <w:t>- kraven på långsiktigt god hushållning med mark i enlighet med 2 kap miljöbalken.</w:t>
      </w:r>
    </w:p>
    <w:p>
      <w:pPr>
        <w:pStyle w:val="Normal"/>
        <w:bidi w:val="0"/>
        <w:jc w:val="start"/>
        <w:rPr>
          <w:rFonts w:ascii="Arial" w:hAnsi="Arial"/>
          <w:sz w:val="20"/>
          <w:szCs w:val="20"/>
        </w:rPr>
      </w:pPr>
      <w:r>
        <w:rPr>
          <w:rFonts w:ascii="Arial" w:hAnsi="Arial"/>
          <w:sz w:val="20"/>
          <w:szCs w:val="20"/>
        </w:rPr>
        <w:t>- jordbruksmarkens nationella betydelse i enlighet med 3 kap miljöbalken med beaktande av de stora riskerna vid brytning i alunskiffer.</w:t>
      </w:r>
    </w:p>
    <w:p>
      <w:pPr>
        <w:pStyle w:val="Normal"/>
        <w:bidi w:val="0"/>
        <w:jc w:val="start"/>
        <w:rPr>
          <w:rFonts w:ascii="Arial" w:hAnsi="Arial"/>
          <w:sz w:val="20"/>
          <w:szCs w:val="20"/>
        </w:rPr>
      </w:pPr>
      <w:r>
        <w:rPr>
          <w:rFonts w:ascii="Arial" w:hAnsi="Arial"/>
          <w:sz w:val="20"/>
          <w:szCs w:val="20"/>
        </w:rPr>
        <w:t>- den minskade tillgången till jordbruksmark på global, europeisk och svensk nivå med beaktande av de stora riskerna vid brytning i alunskiffer.</w:t>
      </w:r>
    </w:p>
    <w:p>
      <w:pPr>
        <w:pStyle w:val="Normal"/>
        <w:bidi w:val="0"/>
        <w:jc w:val="start"/>
        <w:rPr>
          <w:rFonts w:ascii="Arial" w:hAnsi="Arial"/>
          <w:sz w:val="20"/>
          <w:szCs w:val="20"/>
        </w:rPr>
      </w:pPr>
      <w:r>
        <w:rPr>
          <w:rFonts w:ascii="Arial" w:hAnsi="Arial"/>
          <w:sz w:val="20"/>
          <w:szCs w:val="20"/>
        </w:rPr>
        <w:t>- hotet mot det specifika värdet av jordbruksmarken runt Storsjön ur ett självförsörjnings- och beredskapsperspektiv.</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 xml:space="preserve">• </w:t>
      </w:r>
      <w:r>
        <w:rPr>
          <w:rFonts w:ascii="Arial" w:hAnsi="Arial"/>
          <w:sz w:val="20"/>
          <w:szCs w:val="20"/>
        </w:rPr>
        <w:t>Jag anser att begreppet "kompensationsåtgärder" måste förtydligas.</w:t>
      </w:r>
    </w:p>
    <w:p>
      <w:pPr>
        <w:pStyle w:val="Normal"/>
        <w:bidi w:val="0"/>
        <w:jc w:val="start"/>
        <w:rPr>
          <w:rFonts w:ascii="Arial" w:hAnsi="Arial"/>
          <w:sz w:val="20"/>
          <w:szCs w:val="20"/>
        </w:rPr>
      </w:pPr>
      <w:r>
        <w:rPr>
          <w:rFonts w:ascii="Arial" w:hAnsi="Arial"/>
          <w:sz w:val="20"/>
          <w:szCs w:val="20"/>
        </w:rPr>
        <w:t>Bolaget redogör för samrådet med Tåssåsens sameby i den bifogade rennäringsutredningen och den omfattande negativa påverkan en gruvetablering kan förväntas innebära för berörda samebyar.</w:t>
      </w:r>
    </w:p>
    <w:p>
      <w:pPr>
        <w:pStyle w:val="Normal"/>
        <w:bidi w:val="0"/>
        <w:jc w:val="start"/>
        <w:rPr>
          <w:rFonts w:ascii="Arial" w:hAnsi="Arial"/>
          <w:sz w:val="20"/>
          <w:szCs w:val="20"/>
        </w:rPr>
      </w:pPr>
      <w:r>
        <w:rPr>
          <w:rFonts w:ascii="Arial" w:hAnsi="Arial"/>
          <w:sz w:val="20"/>
          <w:szCs w:val="20"/>
        </w:rPr>
        <w:t>"Utifrån det betesbortfall som uppstår på grund av mark som tas i anspråk och ovan beskrivna scenario med undvikelse- och barriäreffekt, bedöms påverkan på rennäringen i Tåssåsens sameby som stor. Den planerade verksamheten bedöms påverka rennäringens markanvändningsintressen i området som innehar höga värden ur renbetessynpunkt (hänglavsbete) på ett sådant sätt att värdet förvinner och dess funktion upphör. Konsekvenserna bedöms som stora." sid 51 bilaga B6.</w:t>
      </w:r>
    </w:p>
    <w:p>
      <w:pPr>
        <w:pStyle w:val="Normal"/>
        <w:bidi w:val="0"/>
        <w:jc w:val="start"/>
        <w:rPr>
          <w:rFonts w:ascii="Arial" w:hAnsi="Arial"/>
          <w:sz w:val="20"/>
          <w:szCs w:val="20"/>
        </w:rPr>
      </w:pPr>
      <w:r>
        <w:rPr>
          <w:rFonts w:ascii="Arial" w:hAnsi="Arial"/>
          <w:sz w:val="20"/>
          <w:szCs w:val="20"/>
        </w:rPr>
        <w:t>I utredningen beskrivs det nuvarande bekymmersamma läget för Tåssåsens sameby vad gäller tillgång till betesmark.</w:t>
      </w:r>
    </w:p>
    <w:p>
      <w:pPr>
        <w:pStyle w:val="Normal"/>
        <w:bidi w:val="0"/>
        <w:jc w:val="start"/>
        <w:rPr>
          <w:rFonts w:ascii="Arial" w:hAnsi="Arial"/>
          <w:sz w:val="20"/>
          <w:szCs w:val="20"/>
        </w:rPr>
      </w:pPr>
      <w:r>
        <w:rPr>
          <w:rFonts w:ascii="Arial" w:hAnsi="Arial"/>
          <w:sz w:val="20"/>
          <w:szCs w:val="20"/>
        </w:rPr>
        <w:t>Tåssåsens sameby uppger också att det sedan tidigare finns konflikter rörande avtal om betesmark.</w:t>
      </w:r>
    </w:p>
    <w:p>
      <w:pPr>
        <w:pStyle w:val="Normal"/>
        <w:bidi w:val="0"/>
        <w:jc w:val="start"/>
        <w:rPr>
          <w:rFonts w:ascii="Arial" w:hAnsi="Arial"/>
          <w:sz w:val="20"/>
          <w:szCs w:val="20"/>
        </w:rPr>
      </w:pPr>
      <w:r>
        <w:rPr>
          <w:rFonts w:ascii="Arial" w:hAnsi="Arial"/>
          <w:sz w:val="20"/>
          <w:szCs w:val="20"/>
        </w:rPr>
        <w:t>"Sammantaget, utifrån intrångsbilden med olika störningar tillsammans med ett högt rovdjurstryck, har varje område som finns kvar orört från exploateringar ett mycket högt värde för samebyn" sid 33 bilaga B6.</w:t>
      </w:r>
    </w:p>
    <w:p>
      <w:pPr>
        <w:pStyle w:val="Normal"/>
        <w:bidi w:val="0"/>
        <w:jc w:val="start"/>
        <w:rPr>
          <w:rFonts w:ascii="Arial" w:hAnsi="Arial"/>
          <w:sz w:val="20"/>
          <w:szCs w:val="20"/>
        </w:rPr>
      </w:pPr>
      <w:r>
        <w:rPr>
          <w:rFonts w:ascii="Arial" w:hAnsi="Arial"/>
          <w:sz w:val="20"/>
          <w:szCs w:val="20"/>
        </w:rPr>
        <w:t>Tåssåsens sameby uppges inte ha någon erinran mot rennäringsutredningen.</w:t>
      </w:r>
    </w:p>
    <w:p>
      <w:pPr>
        <w:pStyle w:val="Normal"/>
        <w:bidi w:val="0"/>
        <w:jc w:val="start"/>
        <w:rPr>
          <w:rFonts w:ascii="Arial" w:hAnsi="Arial"/>
          <w:sz w:val="20"/>
          <w:szCs w:val="20"/>
        </w:rPr>
      </w:pPr>
      <w:r>
        <w:rPr>
          <w:rFonts w:ascii="Arial" w:hAnsi="Arial"/>
          <w:sz w:val="20"/>
          <w:szCs w:val="20"/>
        </w:rPr>
        <w:t>Jag ställer mig dock frågande till vilken sorts "kompensationsåtgärder" som avses och på vilket sätt dessa skulle lösa tillgång till kompensatoriskt renbete?</w:t>
      </w:r>
    </w:p>
    <w:p>
      <w:pPr>
        <w:pStyle w:val="Normal"/>
        <w:bidi w:val="0"/>
        <w:jc w:val="start"/>
        <w:rPr>
          <w:rFonts w:ascii="Arial" w:hAnsi="Arial"/>
          <w:sz w:val="20"/>
          <w:szCs w:val="20"/>
        </w:rPr>
      </w:pPr>
      <w:r>
        <w:rPr>
          <w:rFonts w:ascii="Arial" w:hAnsi="Arial"/>
          <w:sz w:val="20"/>
          <w:szCs w:val="20"/>
        </w:rPr>
        <w:t>"Då renskötsel är komplext och samebyarna har kunskap och erfarenhet av hur områdena nyttjas kommer ytterligare dialoger om behov av skyddsåtgärder och kompensationsåtgärder att tas fram med Tåssåsen och Njaarke samebyar." Sid 50 bilaga B6.</w:t>
      </w:r>
    </w:p>
    <w:p>
      <w:pPr>
        <w:pStyle w:val="Normal"/>
        <w:bidi w:val="0"/>
        <w:jc w:val="start"/>
        <w:rPr>
          <w:rFonts w:ascii="Arial" w:hAnsi="Arial"/>
          <w:sz w:val="20"/>
          <w:szCs w:val="20"/>
        </w:rPr>
      </w:pPr>
      <w:r>
        <w:rPr>
          <w:rFonts w:ascii="Arial" w:hAnsi="Arial"/>
          <w:sz w:val="20"/>
          <w:szCs w:val="20"/>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sv-SE"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sv-SE" w:eastAsia="zh-CN" w:bidi="hi-IN"/>
    </w:rPr>
  </w:style>
  <w:style w:type="paragraph" w:styleId="Rubrik">
    <w:name w:val="Rubri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Rubrikuser">
    <w:name w:val="Rubrik (user)"/>
    <w:basedOn w:val="Normal"/>
    <w:next w:val="BodyText"/>
    <w:qFormat/>
    <w:pPr>
      <w:keepNext w:val="true"/>
      <w:spacing w:before="240" w:after="120"/>
    </w:pPr>
    <w:rPr>
      <w:rFonts w:ascii="Liberation Sans" w:hAnsi="Liberation Sans" w:eastAsia="Microsoft YaHei" w:cs="Arial"/>
      <w:sz w:val="28"/>
      <w:szCs w:val="28"/>
    </w:rPr>
  </w:style>
  <w:style w:type="paragraph" w:styleId="Frteckninguser">
    <w:name w:val="Förteckning (user)"/>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TotalTime>
  <Application>LibreOffice/25.2.1.2$Windows_X86_64 LibreOffice_project/d3abf4aee5fd705e4a92bba33a32f40bc4e56f49</Application>
  <AppVersion>15.0000</AppVersion>
  <Pages>6</Pages>
  <Words>3486</Words>
  <Characters>20922</Characters>
  <CharactersWithSpaces>24231</CharactersWithSpaces>
  <Paragraphs>176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2025-03-31T17:07:18Z</dcterms:created>
  <dc:creator/>
  <dc:description/>
  <dc:language>sv-SE</dc:language>
  <cp:lastModifiedBy/>
  <dcterms:modified xsi:type="dcterms:W3CDTF">2025-03-31T17:22:53Z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